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44BD">
            <w:pPr>
              <w:pStyle w:val="tkTekst"/>
              <w:ind w:firstLine="0"/>
            </w:pPr>
            <w:bookmarkStart w:id="0" w:name="_GoBack"/>
            <w:bookmarkEnd w:id="0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44BD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44BD">
            <w:pPr>
              <w:pStyle w:val="tkGrif"/>
            </w:pPr>
            <w:r>
              <w:t>Приложение</w:t>
            </w:r>
          </w:p>
        </w:tc>
      </w:tr>
      <w:tr w:rsidR="0000000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44BD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44BD">
            <w:pPr>
              <w:pStyle w:val="tkTekst"/>
              <w:ind w:firstLine="0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A44BD">
            <w:pPr>
              <w:pStyle w:val="tkKomentarij"/>
              <w:ind w:firstLine="0"/>
              <w:jc w:val="center"/>
            </w:pPr>
            <w:r>
              <w:t xml:space="preserve">(к </w:t>
            </w:r>
            <w:hyperlink r:id="rId4" w:history="1">
              <w:r>
                <w:rPr>
                  <w:rStyle w:val="Hyperlink"/>
                </w:rPr>
                <w:t>постановлению</w:t>
              </w:r>
            </w:hyperlink>
            <w:r>
              <w:t xml:space="preserve"> Правительства Кыргызской Республики</w:t>
            </w:r>
            <w:r>
              <w:br/>
              <w:t>от 21 февраля 2020 года № 111)</w:t>
            </w:r>
          </w:p>
        </w:tc>
      </w:tr>
    </w:tbl>
    <w:p w:rsidR="00000000" w:rsidRDefault="00DA44BD">
      <w:pPr>
        <w:pStyle w:val="tkNazvanie"/>
        <w:rPr>
          <w:lang w:val="ru-RU"/>
        </w:rPr>
      </w:pPr>
      <w:r>
        <w:rPr>
          <w:lang w:val="ru-RU"/>
        </w:rPr>
        <w:t>ПОЛОЖЕНИЕ</w:t>
      </w:r>
      <w:r>
        <w:rPr>
          <w:lang w:val="ru-RU"/>
        </w:rPr>
        <w:br/>
        <w:t>о тендерной комиссии по проектам государственно-частного партнерства</w:t>
      </w:r>
    </w:p>
    <w:p w:rsidR="00000000" w:rsidRDefault="00DA44BD">
      <w:pPr>
        <w:pStyle w:val="tkZagolovok3"/>
        <w:rPr>
          <w:lang w:val="ru-RU"/>
        </w:rPr>
      </w:pPr>
      <w:r>
        <w:rPr>
          <w:lang w:val="ru-RU"/>
        </w:rPr>
        <w:t>Глава 1. Общие положения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 xml:space="preserve">1. Настоящее Положение разработано в соответствии с </w:t>
      </w:r>
      <w:hyperlink r:id="rId5" w:history="1">
        <w:r>
          <w:rPr>
            <w:rStyle w:val="Hyperlink"/>
            <w:lang w:val="ru-RU"/>
          </w:rPr>
          <w:t>Законом</w:t>
        </w:r>
      </w:hyperlink>
      <w:r>
        <w:rPr>
          <w:lang w:val="ru-RU"/>
        </w:rPr>
        <w:t xml:space="preserve"> Кыргызской Республики "О государственно-частном партнерстве" и определяет порядок формирования, деятельности и полномочия тендерной комиссии по проектам государс</w:t>
      </w:r>
      <w:r>
        <w:rPr>
          <w:lang w:val="ru-RU"/>
        </w:rPr>
        <w:t>твенно-частного партнерства (далее - тендерная комиссия), а также устанавливает квалификационные требования к ее членам.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 xml:space="preserve">2. Тендерная комиссия в своей деятельности руководствуется </w:t>
      </w:r>
      <w:hyperlink r:id="rId6" w:history="1">
        <w:r>
          <w:rPr>
            <w:rStyle w:val="Hyperlink"/>
            <w:lang w:val="ru-RU"/>
          </w:rPr>
          <w:t>Конституцией</w:t>
        </w:r>
      </w:hyperlink>
      <w:r>
        <w:rPr>
          <w:lang w:val="ru-RU"/>
        </w:rPr>
        <w:t xml:space="preserve"> Кыргызской Республики, </w:t>
      </w:r>
      <w:hyperlink r:id="rId7" w:history="1">
        <w:r>
          <w:rPr>
            <w:rStyle w:val="Hyperlink"/>
            <w:lang w:val="ru-RU"/>
          </w:rPr>
          <w:t>Законом</w:t>
        </w:r>
      </w:hyperlink>
      <w:r>
        <w:rPr>
          <w:lang w:val="ru-RU"/>
        </w:rPr>
        <w:t xml:space="preserve"> Кыргызской Республики "О государственно-частном партнерстве", нормативными правовыми актами Кыргызской Республики, тендерными документами и настоящим Положением.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3. Термины, используемые в настоящем Положении, употребля</w:t>
      </w:r>
      <w:r>
        <w:rPr>
          <w:lang w:val="ru-RU"/>
        </w:rPr>
        <w:t xml:space="preserve">ются в значениях, определенных в </w:t>
      </w:r>
      <w:hyperlink r:id="rId8" w:history="1">
        <w:r>
          <w:rPr>
            <w:rStyle w:val="Hyperlink"/>
            <w:lang w:val="ru-RU"/>
          </w:rPr>
          <w:t>Законе</w:t>
        </w:r>
      </w:hyperlink>
      <w:r>
        <w:rPr>
          <w:lang w:val="ru-RU"/>
        </w:rPr>
        <w:t xml:space="preserve"> Кыргызской Республики "О государственно-частном партнерстве".</w:t>
      </w:r>
    </w:p>
    <w:p w:rsidR="00000000" w:rsidRDefault="00DA44BD">
      <w:pPr>
        <w:pStyle w:val="tkZagolovok3"/>
        <w:rPr>
          <w:lang w:val="ru-RU"/>
        </w:rPr>
      </w:pPr>
      <w:r>
        <w:rPr>
          <w:lang w:val="ru-RU"/>
        </w:rPr>
        <w:t>Глава 2. Порядок формирования тендерной комиссии и квалификационные требования, предъявляемые к ее членам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 xml:space="preserve">4. Тендерная </w:t>
      </w:r>
      <w:r>
        <w:rPr>
          <w:lang w:val="ru-RU"/>
        </w:rPr>
        <w:t>комиссия формируется по каждому проекту государственно-частного партнерства (далее - ГЧП).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5. Тендерная комиссия формируется и утверждается решением государственного партнера, в течение двух недель со дня утверждения тендерных документов.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6. Тендерная коми</w:t>
      </w:r>
      <w:r>
        <w:rPr>
          <w:lang w:val="ru-RU"/>
        </w:rPr>
        <w:t>ссия образуется в составе не менее пяти, но не более одиннадцати человек, включая председателя, заместителя председателя и секретаря тендерной комиссии. Количество членов тендерной комиссии должно быть нечетным.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7. В состав тендерной комиссии входят предст</w:t>
      </w:r>
      <w:r>
        <w:rPr>
          <w:lang w:val="ru-RU"/>
        </w:rPr>
        <w:t>авители государственного партнера, представитель уполномоченного государственного органа по координации проектов ГЧП, специалист, обладающий опытом и знаниями по соответствующему инфраструктурному объекту, специалист в области экономики и (или) финансов, с</w:t>
      </w:r>
      <w:r>
        <w:rPr>
          <w:lang w:val="ru-RU"/>
        </w:rPr>
        <w:t>пециалист в области юриспруденции, представитель местного сообщества, на которое проект ГЧП будет оказывать непосредственное влияние.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 xml:space="preserve">8. В случае невозможности члена тендерной комиссии продолжать участие в ее деятельности (в том числе по причине болезни, </w:t>
      </w:r>
      <w:r>
        <w:rPr>
          <w:lang w:val="ru-RU"/>
        </w:rPr>
        <w:t>отъезда/командировки), член тендерной комиссии обязан в трехдневный срок письменно уведомить об этом государственного партнера и тендерную комиссию с просьбой о прекращении его/ее полномочий в качестве члена тендерной комиссии. Прекращение полномочий и пос</w:t>
      </w:r>
      <w:r>
        <w:rPr>
          <w:lang w:val="ru-RU"/>
        </w:rPr>
        <w:t>ледующая замена члена тендерной комиссии производятся на основании решения государственного партнера, не позднее 5 (пяти) рабочих дней с даты поступления письменного уведомления о прекращении его/ее полномочий.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9. К членам тендерной комиссии устанавливаютс</w:t>
      </w:r>
      <w:r>
        <w:rPr>
          <w:lang w:val="ru-RU"/>
        </w:rPr>
        <w:t>я следующие квалификационные требования: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lastRenderedPageBreak/>
        <w:t>1) наличие документально подтвержденного профессионального опыта и знаний специфики по рассматриваемому проекту ГЧП у специалиста, обладающего опытом и знаниями по соответствующему инфраструктурному объекту (наличие</w:t>
      </w:r>
      <w:r>
        <w:rPr>
          <w:lang w:val="ru-RU"/>
        </w:rPr>
        <w:t xml:space="preserve"> документа об образовании государственного образца, записи в трудовой книжке, сертификатов, дипломов, рекомендательных писем);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2) наличие высшего профессионального образования у представителей государственного партнера, уполномоченного государственного орг</w:t>
      </w:r>
      <w:r>
        <w:rPr>
          <w:lang w:val="ru-RU"/>
        </w:rPr>
        <w:t>ана, специалиста в области экономики и (или) финансов, а также специалиста в области юриспруденции.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10. Член тендерной комиссии обязан: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1) лично принимать участие в заседаниях тендерной комиссии;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2) быть информированным о правах и обязанностях тендерной ко</w:t>
      </w:r>
      <w:r>
        <w:rPr>
          <w:lang w:val="ru-RU"/>
        </w:rPr>
        <w:t>миссии;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3) представлять секретарю тендерной комиссии заблаговременно (за 24 часа до запланированного заседания) письменное объяснение своего отсутствия;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4) заявить о любом потенциальном или существующем конфликте интересов и о своем самоотводе до этапа нас</w:t>
      </w:r>
      <w:r>
        <w:rPr>
          <w:lang w:val="ru-RU"/>
        </w:rPr>
        <w:t>тупления процедуры рассмотрения квалификационных заявок;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 xml:space="preserve">5) действовать в соответствии с настоящим Положением, тендерными документами, </w:t>
      </w:r>
      <w:hyperlink r:id="rId9" w:history="1">
        <w:r>
          <w:rPr>
            <w:rStyle w:val="Hyperlink"/>
            <w:lang w:val="ru-RU"/>
          </w:rPr>
          <w:t>Законом</w:t>
        </w:r>
      </w:hyperlink>
      <w:r>
        <w:rPr>
          <w:lang w:val="ru-RU"/>
        </w:rPr>
        <w:t xml:space="preserve"> Кыргызской Республики "О государственно-частном партнерстве" и иными нормативн</w:t>
      </w:r>
      <w:r>
        <w:rPr>
          <w:lang w:val="ru-RU"/>
        </w:rPr>
        <w:t>ыми правовыми актами Кыргызской Республики в сфере ГЧП.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11. Членами тендерной комиссии не могут быть лица: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1) представившие заявки на участие в тендере или состоящие в штате участника тендера;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2) являющиеся учредителями/соучредителями участника тендера;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3)</w:t>
      </w:r>
      <w:r>
        <w:rPr>
          <w:lang w:val="ru-RU"/>
        </w:rPr>
        <w:t xml:space="preserve"> имеющие имущественные права и (или) иные интересы в представленном проекте ГЧП;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4) имеющие родственников, являющихся собственниками (конечными выгодоприобретателями (бенефициарами), участника тендера.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12. Члены тендерной комиссии не должны иметь конфликта</w:t>
      </w:r>
      <w:r>
        <w:rPr>
          <w:lang w:val="ru-RU"/>
        </w:rPr>
        <w:t xml:space="preserve"> интересов в отношении рассматриваемого проекта ГЧП, о чем они вносят письменное подтверждение государственному партнеру, образующему тендерную комиссию. В случае выявления в составе тендерной комиссии таких лиц, государственный партнер исключает их из чис</w:t>
      </w:r>
      <w:r>
        <w:rPr>
          <w:lang w:val="ru-RU"/>
        </w:rPr>
        <w:t>ла членов тендерной комиссии и вводит других лиц в срок до проведения очередного заседания тендерной комиссии.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13. Члены тендерной комиссии должны подписать письменное обязательство об отсутствии конфликта интересов и соблюдении конфиденциальности всех док</w:t>
      </w:r>
      <w:r>
        <w:rPr>
          <w:lang w:val="ru-RU"/>
        </w:rPr>
        <w:t>ументов и информации, имеющих отношение к тендеру, по форме, утверждаемой уполномоченным государственным органом в сфере ГЧП.</w:t>
      </w:r>
    </w:p>
    <w:p w:rsidR="00000000" w:rsidRDefault="00DA44BD">
      <w:pPr>
        <w:pStyle w:val="tkZagolovok3"/>
        <w:rPr>
          <w:lang w:val="ru-RU"/>
        </w:rPr>
      </w:pPr>
      <w:r>
        <w:rPr>
          <w:lang w:val="ru-RU"/>
        </w:rPr>
        <w:t>Глава 3. Функции и полномочия тендерной комиссии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 xml:space="preserve">14. Функции тендерной комиссии: проведение тендера, включающего квалификационный </w:t>
      </w:r>
      <w:r>
        <w:rPr>
          <w:lang w:val="ru-RU"/>
        </w:rPr>
        <w:t xml:space="preserve">отбор и отбор победителя тендера, в соответствии с </w:t>
      </w:r>
      <w:hyperlink r:id="rId10" w:history="1">
        <w:r>
          <w:rPr>
            <w:rStyle w:val="Hyperlink"/>
            <w:lang w:val="ru-RU"/>
          </w:rPr>
          <w:t>Законом</w:t>
        </w:r>
      </w:hyperlink>
      <w:r>
        <w:rPr>
          <w:lang w:val="ru-RU"/>
        </w:rPr>
        <w:t xml:space="preserve"> Кыргызской Республики "О государственно-частном партнерстве".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15. Задачи тендерной комиссии: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 xml:space="preserve">1) оценка заявок на участие в квалификационном отборе по проекту ГЧП </w:t>
      </w:r>
      <w:r>
        <w:rPr>
          <w:lang w:val="ru-RU"/>
        </w:rPr>
        <w:t>в соответствии с требованиями и критериями оценки, установленными в запросе квалификаций для участия в тендере;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2) оценка тендерных предложений (технические и финансовые предложения) в соответствии с требованиями, установленными в запросе предложений для у</w:t>
      </w:r>
      <w:r>
        <w:rPr>
          <w:lang w:val="ru-RU"/>
        </w:rPr>
        <w:t>частия в тендере;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3) отклонение заявки на участие в квалификационном отборе;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 xml:space="preserve">4) дисквалификация победителя тендера и назначение другого победителя тендера в случаях, предусмотренных </w:t>
      </w:r>
      <w:hyperlink r:id="rId11" w:history="1">
        <w:r>
          <w:rPr>
            <w:rStyle w:val="Hyperlink"/>
            <w:lang w:val="ru-RU"/>
          </w:rPr>
          <w:t>Законом</w:t>
        </w:r>
      </w:hyperlink>
      <w:r>
        <w:rPr>
          <w:lang w:val="ru-RU"/>
        </w:rPr>
        <w:t xml:space="preserve"> Кыргызской Республики "О госуда</w:t>
      </w:r>
      <w:r>
        <w:rPr>
          <w:lang w:val="ru-RU"/>
        </w:rPr>
        <w:t>рственно-частном партнерстве";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5) отбор победителя тендера;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lastRenderedPageBreak/>
        <w:t>6) признание тендера несостоявшимся;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7) объявление повторного тендера.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16. Тендерная комиссия приступает к деятельности с даты утверждения состава тендерной комиссии государственным партнером. Дея</w:t>
      </w:r>
      <w:r>
        <w:rPr>
          <w:lang w:val="ru-RU"/>
        </w:rPr>
        <w:t>тельность тендерной комиссии прекращается с даты заключения соглашения о ГЧП или с даты принятия тендерной комиссией решения о признании тендера несостоявшимся, без объявления повторного тендера.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17. Для проведения квалификационного отбора достаточно подач</w:t>
      </w:r>
      <w:r>
        <w:rPr>
          <w:lang w:val="ru-RU"/>
        </w:rPr>
        <w:t>и одной заявки на участие в квалификационном отборе. Если при проведении квалификационного отбора по крупному проекту была подана только одна заявка, то такой тендер признается несостоявшимся, и тендерная комиссия обязана в течение 30 (тридцати) календарны</w:t>
      </w:r>
      <w:r>
        <w:rPr>
          <w:lang w:val="ru-RU"/>
        </w:rPr>
        <w:t>х дней с даты объявления тендера несостоявшимся объявить повторный тендер. При проведении повторного тендера по крупному проекту для квалификационного отбора достаточно подачи одной заявки на участие в квалификационном отборе.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18. Победителем тендера объявляется участник тендера, технические и финансовые предложения которого признаются тендерной комиссией соответствующими требованиям запроса предложений для участия в тендере и содержат наилучшие условия реализации проекта ГЧП. В</w:t>
      </w:r>
      <w:r>
        <w:rPr>
          <w:lang w:val="ru-RU"/>
        </w:rPr>
        <w:t xml:space="preserve"> случае признания тендерной комиссией технических и/или финансовых предложений всех участников тендера не соответствующими требованиям запроса предложений для участия в тендере, тендерная комиссия признает тендер несостоявшимся и вправе объявить повторный </w:t>
      </w:r>
      <w:r>
        <w:rPr>
          <w:lang w:val="ru-RU"/>
        </w:rPr>
        <w:t>тендер.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19. Тендерная комиссия в пределах своей компетенции имеет право: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1) запрашивать документы и информацию, относящиеся к проведению тендера, от участников тендера, приглашать их на свои заседания для дачи пояснений по представленным документам. Докуме</w:t>
      </w:r>
      <w:r>
        <w:rPr>
          <w:lang w:val="ru-RU"/>
        </w:rPr>
        <w:t>нты и информация, предоставляемые тендерной комиссии участниками тендера, являются конфиденциальными;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2) запрашивать от государственного партнера привлечение независимых консультантов (не являющихся членами тендерной комиссии или сотрудниками государственн</w:t>
      </w:r>
      <w:r>
        <w:rPr>
          <w:lang w:val="ru-RU"/>
        </w:rPr>
        <w:t>ого партнера) для оказания содействия при проведении тендера и консультирования по отдельным вопросам, требующим специальных знаний.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20. Членам тендерной комиссии запрещается передача полученных документов (их копий) или информации третьим лицам, включая д</w:t>
      </w:r>
      <w:r>
        <w:rPr>
          <w:lang w:val="ru-RU"/>
        </w:rPr>
        <w:t>ругих участников тендера, или использование данных документов (их копий) или информации в иных целях, чем оценка заявок и предложений, полученных в ходе проведения тендера. Передача документов и информации третьим лицам возможна только в случаях, предусмот</w:t>
      </w:r>
      <w:r>
        <w:rPr>
          <w:lang w:val="ru-RU"/>
        </w:rPr>
        <w:t>ренных уголовно-процессуальным, гражданско-процессуальным законодательством Кыргызской Республики, а также законодательством об административной деятельности и административных процедурах.</w:t>
      </w:r>
    </w:p>
    <w:p w:rsidR="00000000" w:rsidRDefault="00DA44BD">
      <w:pPr>
        <w:pStyle w:val="tkZagolovok3"/>
        <w:rPr>
          <w:lang w:val="ru-RU"/>
        </w:rPr>
      </w:pPr>
      <w:r>
        <w:rPr>
          <w:lang w:val="ru-RU"/>
        </w:rPr>
        <w:t>Глава 4. Организация деятельности тендерной комиссии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21. Деятельнос</w:t>
      </w:r>
      <w:r>
        <w:rPr>
          <w:lang w:val="ru-RU"/>
        </w:rPr>
        <w:t>ть тендерной комиссии осуществляется на общественных началах.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22. Тендерная комиссия осуществляет свою деятельность путем проведения заседаний. Заседания тендерной комиссии проводятся в очном порядке. Любой член тендерной комиссии имеет право на созыв засе</w:t>
      </w:r>
      <w:r>
        <w:rPr>
          <w:lang w:val="ru-RU"/>
        </w:rPr>
        <w:t>дания тендерной комиссии, при условии предварительного уведомления членов тендерной комиссии не менее чем за 3 (три) календарных дня до даты проведения заседания.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23. Заседание тендерной комиссии является правомочным при условии участия в нем не менее двух</w:t>
      </w:r>
      <w:r>
        <w:rPr>
          <w:lang w:val="ru-RU"/>
        </w:rPr>
        <w:t xml:space="preserve"> третей всех членов тендерной комиссии. Члены тендерной комиссии принимают участие в заседаниях тендерной комиссии лично и не вправе передавать свой голос другим лицам, в том числе другим членам тендерной комиссии.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24. Заседание тендерной комиссии проводит</w:t>
      </w:r>
      <w:r>
        <w:rPr>
          <w:lang w:val="ru-RU"/>
        </w:rPr>
        <w:t xml:space="preserve">ся ее председателем, в его отсутствие - заместителем председателя тендерной комиссии. В случае отсутствия председателя и заместителя председателя, присутствующие члены тендерной комиссии, при наличии кворума, большинством </w:t>
      </w:r>
      <w:r>
        <w:rPr>
          <w:lang w:val="ru-RU"/>
        </w:rPr>
        <w:lastRenderedPageBreak/>
        <w:t>голосов избирают председательствую</w:t>
      </w:r>
      <w:r>
        <w:rPr>
          <w:lang w:val="ru-RU"/>
        </w:rPr>
        <w:t>щего на заседании тендерной комиссии, что фиксируется в протоколе заседания тендерной комиссии.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25. Решения тендерной комиссии принимаются большинством голосов присутствующих на заседании членов тендерной комиссии. Процесс голосования проводится открыто. В</w:t>
      </w:r>
      <w:r>
        <w:rPr>
          <w:lang w:val="ru-RU"/>
        </w:rPr>
        <w:t xml:space="preserve"> случае равного распределения голосов, решающим является голос председателя, в случае его отсутствия - заместителя председателя, в случае отсутствия последнего - члена тендерной комиссии, который был избран председательствующим на заседании тендерной комис</w:t>
      </w:r>
      <w:r>
        <w:rPr>
          <w:lang w:val="ru-RU"/>
        </w:rPr>
        <w:t>сии.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26. Решения тендерной комиссии оформляются протоколами, подписываемыми всеми присутствующими на заседании членами тендерной комиссии. Член тендерной комиссии вправе изложить свое особое мнение по решению тендерной комиссии, которое приобщается к прото</w:t>
      </w:r>
      <w:r>
        <w:rPr>
          <w:lang w:val="ru-RU"/>
        </w:rPr>
        <w:t>колам.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27. Тендерная комиссия является коллегиальным органом, принимающим решения путем проведения очных заседаний и голосования членов тендерной комиссии. Отдельные члены тендерной комиссии, включая ее председателя, не вправе принимать решения от имени те</w:t>
      </w:r>
      <w:r>
        <w:rPr>
          <w:lang w:val="ru-RU"/>
        </w:rPr>
        <w:t>ндерной комиссии и/или любым способом подменять собой полномочия тендерной комиссии как коллегиального органа. Действия отдельных членов тендерной комиссии, включая ее председателя, не должны рассматриваться как действия тендерной комиссии.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28. Ответственн</w:t>
      </w:r>
      <w:r>
        <w:rPr>
          <w:lang w:val="ru-RU"/>
        </w:rPr>
        <w:t>ость за ведение и хранение протоколов заседаний тендерной комиссии, а также хранение любых документов, поступающих в адрес тендерной комиссии, возлагается на секретаря тендерной комиссии. В течение 10 (десяти) календарных дней после прекращения деятельност</w:t>
      </w:r>
      <w:r>
        <w:rPr>
          <w:lang w:val="ru-RU"/>
        </w:rPr>
        <w:t>и тендерной комиссии, секретарь тендерной комиссии должен передать все протоколы и документы, находившиеся на его хранении, в архив государственного партнера по акту приема-передачи.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29. Протоколы заседаний тендерной комиссии оформляются и подписываются те</w:t>
      </w:r>
      <w:r>
        <w:rPr>
          <w:lang w:val="ru-RU"/>
        </w:rPr>
        <w:t>ндерной комиссией не позднее 3 (трех) календарных дней после даты проведения соответствующего заседания. Результаты вскрытия конвертов подлежат оформлению протоколом в тот же день.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30. Протоколы тендерной комиссии должны содержать сведения, включающие дату</w:t>
      </w:r>
      <w:r>
        <w:rPr>
          <w:lang w:val="ru-RU"/>
        </w:rPr>
        <w:t xml:space="preserve"> и время проведения заседания, адрес (место) проведения заседания, повестку заседания, фамилии, имена, отчества присутствующих членов тендерной комиссии и присутствующих независимых консультантов, краткое содержание выступлений, вынесенные на голосование в</w:t>
      </w:r>
      <w:r>
        <w:rPr>
          <w:lang w:val="ru-RU"/>
        </w:rPr>
        <w:t>опросы, результаты голосования и принятые решения.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31. Председатель тендерной комиссии (или во время отсутствия председателя или невыполнения им своих обязанностей - заместитель председателя, в случае отсутствия последнего - член тендерной комиссии, которы</w:t>
      </w:r>
      <w:r>
        <w:rPr>
          <w:lang w:val="ru-RU"/>
        </w:rPr>
        <w:t>й был избран председательствующим на заседании тендерной комиссии):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1) председательствует на заседаниях тендерной комиссии, руководит деятельностью и организует работу тендерной комиссии;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2) несет персональную ответственность за выполнение возложенных на т</w:t>
      </w:r>
      <w:r>
        <w:rPr>
          <w:lang w:val="ru-RU"/>
        </w:rPr>
        <w:t>ендерную комиссию задач и функций;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3) определяет дату, место, время проведения и повестку заседания тендерной комиссии;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4) гарантирует конфиденциальность представляемой и используемой информации и сохранение коммерческой тайны;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5) обеспечивает неразглашени</w:t>
      </w:r>
      <w:r>
        <w:rPr>
          <w:lang w:val="ru-RU"/>
        </w:rPr>
        <w:t>е результатов оценки заявок на участие в квалификационном отборе и тендерных предложений до даты публикации объявления о результатах тендера;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6) выносит на голосование предложения членов тендерной комиссии и проекты решений;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7) подводит итоги голосования и</w:t>
      </w:r>
      <w:r>
        <w:rPr>
          <w:lang w:val="ru-RU"/>
        </w:rPr>
        <w:t xml:space="preserve"> оглашает принятые решения.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32. Секретарь тендерной комиссии: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1) готовит необходимые документы (материалы) по повестке заседания и ведет журнал регистрации документов, представляемых на тендер;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2) письменно уведомляет членов тендерной комиссии о дате, мест</w:t>
      </w:r>
      <w:r>
        <w:rPr>
          <w:lang w:val="ru-RU"/>
        </w:rPr>
        <w:t>е, времени и повестке заседания;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>3) организует ведение протоколов заседаний тендерной комиссии;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lastRenderedPageBreak/>
        <w:t>4) обеспечивает учет и хранение документов тендерной комиссии.</w:t>
      </w:r>
    </w:p>
    <w:p w:rsidR="00000000" w:rsidRDefault="00DA44BD">
      <w:pPr>
        <w:pStyle w:val="tkTekst"/>
        <w:rPr>
          <w:lang w:val="ru-RU"/>
        </w:rPr>
      </w:pPr>
      <w:r>
        <w:rPr>
          <w:lang w:val="ru-RU"/>
        </w:rPr>
        <w:t xml:space="preserve">33. Организационно-техническое обеспечение деятельности </w:t>
      </w:r>
      <w:r>
        <w:rPr>
          <w:lang w:val="ru-RU"/>
        </w:rPr>
        <w:t>тендерной комиссии осуществляется государственным партнером, образовавшим тендерную комиссию.</w:t>
      </w:r>
    </w:p>
    <w:p w:rsidR="00DA44BD" w:rsidRDefault="00DA44BD">
      <w:pPr>
        <w:pStyle w:val="tkTekst"/>
        <w:rPr>
          <w:lang w:val="ru-RU"/>
        </w:rPr>
      </w:pPr>
      <w:r>
        <w:rPr>
          <w:lang w:val="ru-RU"/>
        </w:rPr>
        <w:t>34. Споры, возникающие между участниками тендера и тендерной комиссией в процессе проведения тендера, а также вопросы об отклонении предложения об инициировании п</w:t>
      </w:r>
      <w:r>
        <w:rPr>
          <w:lang w:val="ru-RU"/>
        </w:rPr>
        <w:t>роекта ГЧП разрешаются в порядке, предусмотренном законодательством об административной деятельности и административных процедурах.</w:t>
      </w:r>
    </w:p>
    <w:sectPr w:rsidR="00DA44B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419E"/>
    <w:rsid w:val="0039419E"/>
    <w:rsid w:val="00D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78200-AFE8-4B02-8F47-CEC597F6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Theme="minorEastAsia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tkRedakcijaSpisok">
    <w:name w:val="_В редакции список (tkRedakcijaSpisok)"/>
    <w:basedOn w:val="Normal"/>
    <w:pPr>
      <w:ind w:left="1134" w:right="1134"/>
      <w:jc w:val="center"/>
    </w:pPr>
    <w:rPr>
      <w:rFonts w:ascii="Arial" w:hAnsi="Arial" w:cs="Arial"/>
      <w:b w:val="0"/>
      <w:bCs w:val="0"/>
      <w:sz w:val="20"/>
      <w:szCs w:val="20"/>
    </w:rPr>
  </w:style>
  <w:style w:type="paragraph" w:customStyle="1" w:styleId="tkRedakcijaTekst">
    <w:name w:val="_В редакции текст (tkRedakcijaTekst)"/>
    <w:basedOn w:val="Normal"/>
    <w:pPr>
      <w:spacing w:after="60"/>
      <w:ind w:firstLine="567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kGrif">
    <w:name w:val="_Гриф (tkGrif)"/>
    <w:basedOn w:val="Normal"/>
    <w:pPr>
      <w:spacing w:after="60"/>
      <w:jc w:val="center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Zagolovok3">
    <w:name w:val="_Заголовок Глава (tkZagolovok3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4">
    <w:name w:val="_Заголовок Параграф (tkZagolovok4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2">
    <w:name w:val="_Заголовок Раздел (tkZagolovok2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Zagolovok5">
    <w:name w:val="_Заголовок Статья (tkZagolovok5)"/>
    <w:basedOn w:val="Normal"/>
    <w:pPr>
      <w:spacing w:before="200" w:after="60"/>
      <w:ind w:firstLine="567"/>
    </w:pPr>
    <w:rPr>
      <w:rFonts w:ascii="Arial" w:hAnsi="Arial" w:cs="Arial"/>
      <w:i w:val="0"/>
      <w:iCs w:val="0"/>
      <w:sz w:val="20"/>
      <w:szCs w:val="20"/>
    </w:rPr>
  </w:style>
  <w:style w:type="paragraph" w:customStyle="1" w:styleId="tkZagolovok1">
    <w:name w:val="_Заголовок Часть (tkZagolovok1)"/>
    <w:basedOn w:val="Normal"/>
    <w:pPr>
      <w:spacing w:before="2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Komentarij">
    <w:name w:val="_Комментарий (tkKomentarij)"/>
    <w:basedOn w:val="Normal"/>
    <w:pPr>
      <w:spacing w:after="60"/>
      <w:ind w:firstLine="567"/>
      <w:jc w:val="both"/>
    </w:pPr>
    <w:rPr>
      <w:rFonts w:ascii="Arial" w:hAnsi="Arial" w:cs="Arial"/>
      <w:b w:val="0"/>
      <w:bCs w:val="0"/>
      <w:color w:val="006600"/>
      <w:sz w:val="20"/>
      <w:szCs w:val="20"/>
    </w:rPr>
  </w:style>
  <w:style w:type="paragraph" w:customStyle="1" w:styleId="tkNazvanie">
    <w:name w:val="_Название (tkNazvanie)"/>
    <w:basedOn w:val="Normal"/>
    <w:pPr>
      <w:spacing w:before="400" w:after="400"/>
      <w:ind w:left="1134" w:right="1134"/>
      <w:jc w:val="center"/>
    </w:pPr>
    <w:rPr>
      <w:rFonts w:ascii="Arial" w:hAnsi="Arial" w:cs="Arial"/>
      <w:i w:val="0"/>
      <w:iCs w:val="0"/>
      <w:sz w:val="24"/>
      <w:szCs w:val="24"/>
    </w:rPr>
  </w:style>
  <w:style w:type="paragraph" w:customStyle="1" w:styleId="tkPodpis">
    <w:name w:val="_Подпись (tkPodpis)"/>
    <w:basedOn w:val="Normal"/>
    <w:pPr>
      <w:spacing w:after="60"/>
    </w:pPr>
    <w:rPr>
      <w:rFonts w:ascii="Arial" w:hAnsi="Arial" w:cs="Arial"/>
      <w:i w:val="0"/>
      <w:iCs w:val="0"/>
      <w:sz w:val="20"/>
      <w:szCs w:val="20"/>
    </w:rPr>
  </w:style>
  <w:style w:type="paragraph" w:customStyle="1" w:styleId="tkRekvizit">
    <w:name w:val="_Реквизит (tkRekvizit)"/>
    <w:basedOn w:val="Normal"/>
    <w:pPr>
      <w:spacing w:before="200"/>
      <w:jc w:val="center"/>
    </w:pPr>
    <w:rPr>
      <w:rFonts w:ascii="Arial" w:hAnsi="Arial" w:cs="Arial"/>
      <w:b w:val="0"/>
      <w:bCs w:val="0"/>
      <w:sz w:val="20"/>
      <w:szCs w:val="20"/>
    </w:rPr>
  </w:style>
  <w:style w:type="paragraph" w:customStyle="1" w:styleId="tsSoderzhanie3">
    <w:name w:val="__Структура Глава (tsSoderzhanie3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4">
    <w:name w:val="__Структура Параграф (tsSoderzhanie4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2">
    <w:name w:val="__Структура Раздел (tsSoderzhanie2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5">
    <w:name w:val="__Структура Статья (tsSoderzhanie5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sSoderzhanie1">
    <w:name w:val="__Структура Часть (tsSoderzhanie1)"/>
    <w:basedOn w:val="Normal"/>
    <w:pPr>
      <w:shd w:val="clear" w:color="auto" w:fill="D9D9D9"/>
    </w:pPr>
    <w:rPr>
      <w:rFonts w:ascii="Arial" w:hAnsi="Arial" w:cs="Arial"/>
      <w:b w:val="0"/>
      <w:bCs w:val="0"/>
      <w:i w:val="0"/>
      <w:iCs w:val="0"/>
      <w:vanish/>
      <w:sz w:val="24"/>
      <w:szCs w:val="24"/>
    </w:rPr>
  </w:style>
  <w:style w:type="paragraph" w:customStyle="1" w:styleId="tkTekst">
    <w:name w:val="_Текст обычный (tkTekst)"/>
    <w:basedOn w:val="Normal"/>
    <w:pPr>
      <w:spacing w:after="60"/>
      <w:ind w:firstLine="567"/>
      <w:jc w:val="both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Tablica">
    <w:name w:val="_Текст таблицы (tkTablica)"/>
    <w:basedOn w:val="Normal"/>
    <w:pPr>
      <w:spacing w:after="60"/>
    </w:pPr>
    <w:rPr>
      <w:rFonts w:ascii="Arial" w:hAnsi="Arial" w:cs="Arial"/>
      <w:b w:val="0"/>
      <w:bCs w:val="0"/>
      <w:i w:val="0"/>
      <w:iCs w:val="0"/>
      <w:sz w:val="20"/>
      <w:szCs w:val="20"/>
    </w:rPr>
  </w:style>
  <w:style w:type="paragraph" w:customStyle="1" w:styleId="tkForma">
    <w:name w:val="_Форма (tkForma)"/>
    <w:basedOn w:val="Normal"/>
    <w:pPr>
      <w:ind w:left="1134" w:right="1134"/>
      <w:jc w:val="center"/>
    </w:pPr>
    <w:rPr>
      <w:rFonts w:ascii="Arial" w:hAnsi="Arial" w:cs="Arial"/>
      <w:i w:val="0"/>
      <w:iCs w:val="0"/>
      <w:caps/>
      <w:sz w:val="24"/>
      <w:szCs w:val="24"/>
    </w:rPr>
  </w:style>
  <w:style w:type="paragraph" w:customStyle="1" w:styleId="tkKomentarijKonflikt">
    <w:name w:val="_Конфликт (tkKomentarijKonflikt)"/>
    <w:basedOn w:val="Normal"/>
    <w:pPr>
      <w:shd w:val="clear" w:color="auto" w:fill="F2DBDB"/>
      <w:spacing w:before="120" w:after="120"/>
      <w:jc w:val="both"/>
    </w:pPr>
    <w:rPr>
      <w:rFonts w:ascii="Arial" w:hAnsi="Arial" w:cs="Arial"/>
      <w:b w:val="0"/>
      <w:bCs w:val="0"/>
      <w:vanish/>
      <w:color w:val="943634"/>
      <w:sz w:val="20"/>
      <w:szCs w:val="20"/>
    </w:rPr>
  </w:style>
  <w:style w:type="paragraph" w:customStyle="1" w:styleId="tsSystem">
    <w:name w:val="__Служебный (tsSystem)"/>
    <w:basedOn w:val="Normal"/>
    <w:pPr>
      <w:shd w:val="clear" w:color="auto" w:fill="FFC000"/>
      <w:spacing w:before="120" w:after="120"/>
    </w:pPr>
    <w:rPr>
      <w:rFonts w:ascii="Arial" w:hAnsi="Arial" w:cs="Arial"/>
      <w:b w:val="0"/>
      <w:bCs w:val="0"/>
      <w:i w:val="0"/>
      <w:iCs w:val="0"/>
      <w:vanish/>
      <w:color w:val="404040"/>
      <w:sz w:val="20"/>
      <w:szCs w:val="20"/>
    </w:r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533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oktom://db/1533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oktom://db/98840" TargetMode="External"/><Relationship Id="rId11" Type="http://schemas.openxmlformats.org/officeDocument/2006/relationships/hyperlink" Target="toktom://db/153300" TargetMode="External"/><Relationship Id="rId5" Type="http://schemas.openxmlformats.org/officeDocument/2006/relationships/hyperlink" Target="toktom://db/153300" TargetMode="External"/><Relationship Id="rId10" Type="http://schemas.openxmlformats.org/officeDocument/2006/relationships/hyperlink" Target="toktom://db/153300" TargetMode="External"/><Relationship Id="rId4" Type="http://schemas.openxmlformats.org/officeDocument/2006/relationships/hyperlink" Target="toktom://db/160878" TargetMode="External"/><Relationship Id="rId9" Type="http://schemas.openxmlformats.org/officeDocument/2006/relationships/hyperlink" Target="toktom://db/1533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2020-10-18T12:22:00Z</dcterms:created>
  <dcterms:modified xsi:type="dcterms:W3CDTF">2020-10-18T12:22:00Z</dcterms:modified>
</cp:coreProperties>
</file>