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0C26">
            <w:pPr>
              <w:pStyle w:val="tkTekst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0C26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0C26">
            <w:pPr>
              <w:pStyle w:val="tkGrif"/>
            </w:pPr>
            <w:r>
              <w:t>Приложение 1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0C26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0C26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0C26">
            <w:pPr>
              <w:pStyle w:val="tkKomentarij"/>
              <w:ind w:firstLine="0"/>
              <w:jc w:val="center"/>
            </w:pPr>
            <w:r>
              <w:t xml:space="preserve">(к </w:t>
            </w:r>
            <w:hyperlink r:id="rId4" w:history="1">
              <w:r>
                <w:rPr>
                  <w:rStyle w:val="Hyperlink"/>
                </w:rPr>
                <w:t>постановлению</w:t>
              </w:r>
            </w:hyperlink>
            <w:r>
              <w:t xml:space="preserve"> Правительства Кыргызской Республики</w:t>
            </w:r>
            <w:r>
              <w:br/>
              <w:t>от 28 июня 2019 года № 333)</w:t>
            </w:r>
          </w:p>
        </w:tc>
      </w:tr>
    </w:tbl>
    <w:p w:rsidR="00000000" w:rsidRDefault="00490C26">
      <w:pPr>
        <w:pStyle w:val="tkNazvanie"/>
        <w:rPr>
          <w:lang w:val="ru-RU"/>
        </w:rPr>
      </w:pPr>
      <w:r>
        <w:rPr>
          <w:lang w:val="ru-RU"/>
        </w:rPr>
        <w:t>ПОЛОЖЕНИЕ</w:t>
      </w:r>
      <w:r>
        <w:rPr>
          <w:lang w:val="ru-RU"/>
        </w:rPr>
        <w:br/>
        <w:t xml:space="preserve">о государственном учреждении "Центр </w:t>
      </w:r>
      <w:r>
        <w:rPr>
          <w:lang w:val="ru-RU"/>
        </w:rPr>
        <w:t>государственно-частного партнерства" при Министерстве экономики Кыргызской Республики</w:t>
      </w:r>
    </w:p>
    <w:p w:rsidR="00000000" w:rsidRDefault="00490C26">
      <w:pPr>
        <w:pStyle w:val="tkZagolovok2"/>
        <w:rPr>
          <w:lang w:val="ru-RU"/>
        </w:rPr>
      </w:pPr>
      <w:r>
        <w:rPr>
          <w:lang w:val="ru-RU"/>
        </w:rPr>
        <w:t>I. Общие положения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1. Государственное учреждение "Центр государственно-частного партнерства" при Министерстве экономики Кыргызской Республики (далее - Центр ГЧП) - являет</w:t>
      </w:r>
      <w:r>
        <w:rPr>
          <w:lang w:val="ru-RU"/>
        </w:rPr>
        <w:t>ся подведомственным подразделением Министерства экономики Кыргызской Республики (далее - Министерство), осуществляющим управленческие функции по продвижению механизмов государственно-частного партнерства (далее - ГЧП) в Кыргызской Республике.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 xml:space="preserve">2. Центр ГЧП </w:t>
      </w:r>
      <w:r>
        <w:rPr>
          <w:lang w:val="ru-RU"/>
        </w:rPr>
        <w:t xml:space="preserve">в своей деятельности руководствуется </w:t>
      </w:r>
      <w:hyperlink r:id="rId5" w:history="1">
        <w:r>
          <w:rPr>
            <w:rStyle w:val="Hyperlink"/>
            <w:lang w:val="ru-RU"/>
          </w:rPr>
          <w:t>Конституцией</w:t>
        </w:r>
      </w:hyperlink>
      <w:r>
        <w:rPr>
          <w:lang w:val="ru-RU"/>
        </w:rPr>
        <w:t xml:space="preserve"> Кыргызской Республики, законами Кыргызской Республики, указами и распоряжениями Президента Кыргызской Республики, постановлениями и распоряжениями Правительства Кыргызской </w:t>
      </w:r>
      <w:r>
        <w:rPr>
          <w:lang w:val="ru-RU"/>
        </w:rPr>
        <w:t>Республики, и международными договорами, вступившими в установленном законом порядке в силу, участницей которых является Кыргызская Республика, а также настоящим Положением.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3. Центр ГЧП является юридическим лицом, имеет печать с изображением Государственн</w:t>
      </w:r>
      <w:r>
        <w:rPr>
          <w:lang w:val="ru-RU"/>
        </w:rPr>
        <w:t>ого герба Кыргызской Республики, со своим наименованием на государственном и официальном языках.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4. Центр ГЧП имеет право открывать в установленном порядке расчетные и иные счета в банках, в системе казначейства.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5. Финансирование расходов на содержание Це</w:t>
      </w:r>
      <w:r>
        <w:rPr>
          <w:lang w:val="ru-RU"/>
        </w:rPr>
        <w:t>нтра ГЧП осуществляется за счет республиканского бюджета и иных источников финансирования, не противоречащих законодательству Кыргызской Республики.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Центр ГЧП вправе осуществлять деятельность, приносящую доходы, которые поступают на самостоятельный баланс,</w:t>
      </w:r>
      <w:r>
        <w:rPr>
          <w:lang w:val="ru-RU"/>
        </w:rPr>
        <w:t xml:space="preserve"> расчетные счета в системе казначейства Кыргызской Республики.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6. Центр ГЧП функционирует во взаимодействии с министерствами, государственными комитетами, административными ведомствами, местными государственными администрациями, органами местного самоуправ</w:t>
      </w:r>
      <w:r>
        <w:rPr>
          <w:lang w:val="ru-RU"/>
        </w:rPr>
        <w:t>ления, представителями бизнес-сообщества, иностранными инвесторами, международными организациями, а также другими юридическими и физическими лицами.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7. Наименование: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 xml:space="preserve">- на государственном языке - "Кыргыз Республикасынын Экономика </w:t>
      </w:r>
      <w:r>
        <w:rPr>
          <w:lang w:val="ru-RU"/>
        </w:rPr>
        <w:t>министрлигинин алдындагы "Мамлекеттик-жеке оноктоштук борбору" мамлекеттик мекемеси";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на официальном языке - "Государственное учреждение "Центр государственно-частного партнерства" при Министерстве экономики Кыргызской Республики";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краткое наименование</w:t>
      </w:r>
      <w:r>
        <w:rPr>
          <w:lang w:val="ru-RU"/>
        </w:rPr>
        <w:t xml:space="preserve"> на государственном языке - "Кыргыз Республикасынын Экономика министрлигинин алдындагы "МЖО борбору" ММ";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краткое наименование на официальном языке - "ГУ "Центр ГЧП" при Министерстве экономики Кыргызской Республики".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8. Юридический адрес Центра ГЧП: 7200</w:t>
      </w:r>
      <w:r>
        <w:rPr>
          <w:lang w:val="ru-RU"/>
        </w:rPr>
        <w:t>02, Кыргызская Республика, город Бишкек, проспект Чуй, 106.</w:t>
      </w:r>
    </w:p>
    <w:p w:rsidR="00000000" w:rsidRDefault="00490C26">
      <w:pPr>
        <w:pStyle w:val="tkZagolovok2"/>
        <w:rPr>
          <w:lang w:val="ru-RU"/>
        </w:rPr>
      </w:pPr>
      <w:r>
        <w:rPr>
          <w:lang w:val="ru-RU"/>
        </w:rPr>
        <w:lastRenderedPageBreak/>
        <w:t>II. Цель Центра ГЧП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9. Целью Государственного учреждения "Центр государственно-частного партнерства" является продвижение проектов государственно-частного партнерства государственной и муниципальн</w:t>
      </w:r>
      <w:r>
        <w:rPr>
          <w:lang w:val="ru-RU"/>
        </w:rPr>
        <w:t>ой инфраструктуры в Кыргызской Республике через привлечение частных инвестиций и управленческого опыта частного сектора с использованием механизмов ГЧП.</w:t>
      </w:r>
    </w:p>
    <w:p w:rsidR="00000000" w:rsidRDefault="00490C26">
      <w:pPr>
        <w:pStyle w:val="tkZagolovok2"/>
        <w:rPr>
          <w:lang w:val="ru-RU"/>
        </w:rPr>
      </w:pPr>
      <w:r>
        <w:rPr>
          <w:lang w:val="ru-RU"/>
        </w:rPr>
        <w:t>III. Задачи Центра ГЧП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10. Задачами Центра ГЧП являются координация проектов государственно-частного па</w:t>
      </w:r>
      <w:r>
        <w:rPr>
          <w:lang w:val="ru-RU"/>
        </w:rPr>
        <w:t xml:space="preserve">ртнерства и распространение механизмов ГЧП в различных социально-значимых отраслях Кыргызской Республики через формирование необходимой системы управления проектами ГЧП, в том числе, содействие государственным партнерам (как они определены в </w:t>
      </w:r>
      <w:hyperlink r:id="rId6" w:history="1">
        <w:r>
          <w:rPr>
            <w:rStyle w:val="Hyperlink"/>
            <w:lang w:val="ru-RU"/>
          </w:rPr>
          <w:t>Законе</w:t>
        </w:r>
      </w:hyperlink>
      <w:r>
        <w:rPr>
          <w:lang w:val="ru-RU"/>
        </w:rPr>
        <w:t xml:space="preserve"> Кыргызской Республики "О государственно-частном партнерстве") в поиске, инициировании, подготовке, реализации и мониторинге проектов ГЧП.</w:t>
      </w:r>
    </w:p>
    <w:p w:rsidR="00000000" w:rsidRDefault="00490C26">
      <w:pPr>
        <w:pStyle w:val="tkZagolovok2"/>
        <w:rPr>
          <w:lang w:val="ru-RU"/>
        </w:rPr>
      </w:pPr>
      <w:r>
        <w:rPr>
          <w:lang w:val="ru-RU"/>
        </w:rPr>
        <w:t>IV. Функции Центра ГЧП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11. В соответствии с возложенными задачами Центр ГЧП осуществляет с</w:t>
      </w:r>
      <w:r>
        <w:rPr>
          <w:lang w:val="ru-RU"/>
        </w:rPr>
        <w:t>ледующие функции: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реализует программы и планы Правительства Кыргызской Республики и Министерства экономики Кыргызской Республики по развитию ГЧП в Кыргызской Республике, а также оказывает содействие Министерству экономики Кыргызской Республики в осуществ</w:t>
      </w:r>
      <w:r>
        <w:rPr>
          <w:lang w:val="ru-RU"/>
        </w:rPr>
        <w:t>лении мониторинга исполнения таких программ и планов государственными и муниципальными органами, иными юридическими лицами Кыргызской Республики;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участвует в разработке и реализации нормативных правовых актов в области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оказывает методическое, орга</w:t>
      </w:r>
      <w:r>
        <w:rPr>
          <w:lang w:val="ru-RU"/>
        </w:rPr>
        <w:t>низационное и иное обеспечение деятельности Фонда финансирования подготовки проектов ГЧП, участвует в проведении экспертизы документов, поступивших на рассмотрение в Фонд;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 xml:space="preserve">- исполняет решения Фонда финансирования подготовки проектов ГЧП, а также оказывает </w:t>
      </w:r>
      <w:r>
        <w:rPr>
          <w:lang w:val="ru-RU"/>
        </w:rPr>
        <w:t>содействие Министерству экономики Кыргызской Республики в осуществлении от имени Фонда мониторинга исполнения решений Фонда;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оказывает методическое, организационное и иное обеспечение деятельности Совета по ГЧП в Кыргызской Республике;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исполняет решени</w:t>
      </w:r>
      <w:r>
        <w:rPr>
          <w:lang w:val="ru-RU"/>
        </w:rPr>
        <w:t>я Совета по ГЧП, а также от имени Совета по ГЧП проводит мониторинг реализации решений Совета по ГЧП государственными и муниципальными органами;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ежегодно, не позднее января года, следующего за отчетным периодом, представляет в Министерство экономики Кырг</w:t>
      </w:r>
      <w:r>
        <w:rPr>
          <w:lang w:val="ru-RU"/>
        </w:rPr>
        <w:t>ызской Республики отчет о результатах деятельности за предыдущий отчетный год;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ведет поиск потенциальных проектов ГЧП, исходя из приоритетов политики Кыргызской Республики по развитию инфраструктуры;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содействует координации деятельности государственных</w:t>
      </w:r>
      <w:r>
        <w:rPr>
          <w:lang w:val="ru-RU"/>
        </w:rPr>
        <w:t xml:space="preserve"> органов, органов местного самоуправления во взаимодействии с международными организациями, бизнес-сообществом, общественными объединениями, научными и иными организациями, юридическими и физическими лицами по вопросам подготовки и реализации проектов ГЧП </w:t>
      </w:r>
      <w:r>
        <w:rPr>
          <w:lang w:val="ru-RU"/>
        </w:rPr>
        <w:t>в Кыргызской Республике;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вносит предложения государственным партнерам по инициированию проектов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формирует и ведет открытую базу реализуемых и потенциальных проектов ГЧП, а также других ГЧП-инициатив;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формирует рейтинг государственных партнеров п</w:t>
      </w:r>
      <w:r>
        <w:rPr>
          <w:lang w:val="ru-RU"/>
        </w:rPr>
        <w:t>о уровню развития ГЧП и рейтинг участников проектов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разрабатывает и представляет в Министерство экономики Кыргызской Республики предложения по разработке проектов нормативных правовых актов по вопросам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lastRenderedPageBreak/>
        <w:t>- разрабатывает проекты документов методол</w:t>
      </w:r>
      <w:r>
        <w:rPr>
          <w:lang w:val="ru-RU"/>
        </w:rPr>
        <w:t>огического характера, содействующих эффективной работе государственных партнеров по поиску, подготовке, реализации и мониторингу проектов ГЧП, и представляет их в Министерство экономики Кыргызской Республики для внесения в установленном порядке на рассмотр</w:t>
      </w:r>
      <w:r>
        <w:rPr>
          <w:lang w:val="ru-RU"/>
        </w:rPr>
        <w:t>ение Правительства Кыргызской Республики;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ведет сбор, анализ и обобщение результатов реализованных проектов ГЧП, определяет наиболее успешные проекты ГЧП для их возможного тиражирования на территории Кыргызской Республики;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разрабатывает и издает информ</w:t>
      </w:r>
      <w:r>
        <w:rPr>
          <w:lang w:val="ru-RU"/>
        </w:rPr>
        <w:t>ационно-справочную и аналитическую литературу по вопросам ГЧП, в том числе по вопросам судебной практики по проектам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проводит обучение государственных и муниципальных служащих, представителей бизнеса и всех заинтересованных лиц по вопросам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ор</w:t>
      </w:r>
      <w:r>
        <w:rPr>
          <w:lang w:val="ru-RU"/>
        </w:rPr>
        <w:t>ганизовывает совещания, семинары, форумы, конференции и другие информационные мероприятия в целях реализации государственной политики в сфере ГЧП и популяризации экономических и правовых знаний в сфере ГЧП, широкого информирования об основных аспектах разв</w:t>
      </w:r>
      <w:r>
        <w:rPr>
          <w:lang w:val="ru-RU"/>
        </w:rPr>
        <w:t>ития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несет ответственность за ведение и поддержку официального веб-сайта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предоставляет информацию заинтересованным лицам о политике, реализации действующих и потенциальных проектов ГЧП в Кыргызской Республике;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осуществляет иные функции, необходимые для достижения целей и выполнения задач;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консультирует государственных партнеров по вопросам поиска, инициирования, структурирования, финансирования, реализации и сопровождения проектов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 xml:space="preserve">- проводит экспертизу </w:t>
      </w:r>
      <w:r>
        <w:rPr>
          <w:lang w:val="ru-RU"/>
        </w:rPr>
        <w:t>проектов ГЧП на предмет их эффективности, целесообразности, реализуемости, соответствия требованиям законодательства Кыргызской Республики;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разрабатывает предложения по инициированию проектов ГЧП, технико-экономические обоснования (далее - ТЭО) по проект</w:t>
      </w:r>
      <w:r>
        <w:rPr>
          <w:lang w:val="ru-RU"/>
        </w:rPr>
        <w:t>ам ГЧП, тендерные документы и/или проводит их экспертизу и оценку;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оказывает платные услуги по вопросам ГЧП, в том числе, по вопросам поиска, инициирования, структурирования, финансирования, реализации и сопровождения проектов ГЧП, оценки проектов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 xml:space="preserve"> заключает договоры с юридическими и физическими лицами в соответствии с целями и задачами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участвует в деятельности рабочих групп и тендерных комиссий, создаваемых в рамках потенциальных или действующих проектов ГЧП, а также в переговорах с у</w:t>
      </w:r>
      <w:r>
        <w:rPr>
          <w:lang w:val="ru-RU"/>
        </w:rPr>
        <w:t>частниками тендеров и победителями тендеров по проектам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осуществляет мониторинг и оценку реализации проектов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оказывает поддержку государственным партнерам по продвижению проектов ГЧП на местном рынке и рынках зарубежных стран.</w:t>
      </w:r>
    </w:p>
    <w:p w:rsidR="00000000" w:rsidRDefault="00490C26">
      <w:pPr>
        <w:pStyle w:val="tkZagolovok2"/>
        <w:rPr>
          <w:lang w:val="ru-RU"/>
        </w:rPr>
      </w:pPr>
      <w:r>
        <w:rPr>
          <w:lang w:val="ru-RU"/>
        </w:rPr>
        <w:t>V. Права и обяз</w:t>
      </w:r>
      <w:r>
        <w:rPr>
          <w:lang w:val="ru-RU"/>
        </w:rPr>
        <w:t>анности Центра ГЧП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12. Центр ГЧП для осуществления задач и функций, определенных настоящим Положением, вправе: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запрашивать и получать от государственных органов, органов местного самоуправления, физических и юридических лиц необходимые материалы и информ</w:t>
      </w:r>
      <w:r>
        <w:rPr>
          <w:lang w:val="ru-RU"/>
        </w:rPr>
        <w:t>ацию, справки, расчеты, другие сведения и документы, необходимые для выполнения задач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участвовать в заседаниях, совещаниях, других мероприятиях, проводимых Правительством Кыргызской Республики, государственными органами и органами местного са</w:t>
      </w:r>
      <w:r>
        <w:rPr>
          <w:lang w:val="ru-RU"/>
        </w:rPr>
        <w:t>моуправления по вопросам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привлекать в установленном порядке специалистов государственных органов, органов местного самоуправления, научно-исследовательских и иных организаций для решения задач, стоящих перед Центром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lastRenderedPageBreak/>
        <w:t>- сотрудничать с международн</w:t>
      </w:r>
      <w:r>
        <w:rPr>
          <w:lang w:val="ru-RU"/>
        </w:rPr>
        <w:t>ыми организациями и институтами, осуществляющими деятельность по вопросам ГЧП в рамках своей компетенции;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 xml:space="preserve">- сотрудничать с общественными некоммерческими организациями, в том числе объединениями, ассоциациями и фондами, если цели и задачи таких организаций </w:t>
      </w:r>
      <w:r>
        <w:rPr>
          <w:lang w:val="ru-RU"/>
        </w:rPr>
        <w:t>соответствуют целям и задачам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привлекать экспертов, специалистов и консультантов, в том числе иностранных специалистов, для консультирования по вопросам ГЧП, обучения сотрудников Центра ГЧП и оказания иных услуг на основе заключаемых гражданс</w:t>
      </w:r>
      <w:r>
        <w:rPr>
          <w:lang w:val="ru-RU"/>
        </w:rPr>
        <w:t>ко-правовых договоров;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направлять сотрудников Центра ГЧП для участия в конференциях, семинарах и других мероприятиях по вопросам ГЧП, в том числе на территории иностранных государств;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осуществлять обучение сотрудников Центра ГЧП с целью повышения их кв</w:t>
      </w:r>
      <w:r>
        <w:rPr>
          <w:lang w:val="ru-RU"/>
        </w:rPr>
        <w:t>алификации за счет средств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получать гранты и техническую помощь от международных организаций, институтов и стран-доноров;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взаимодействовать с государственными органами иностранных государств, международными организациями, иностранными инвес</w:t>
      </w:r>
      <w:r>
        <w:rPr>
          <w:lang w:val="ru-RU"/>
        </w:rPr>
        <w:t>торами в рамках своей компетенции;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производить безналичные и наличные расчеты с физическими и юридическими лицами по приобретению материальных ресурсов и иного имущества в установленном порядке;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обладать обособленным имуществом, приобретать от своего и</w:t>
      </w:r>
      <w:r>
        <w:rPr>
          <w:lang w:val="ru-RU"/>
        </w:rPr>
        <w:t>мени имущественные и личные неимущественные права, выступать истцом и ответчиком в судах общей юрисдикции;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иметь иные права, предусмотренные законодательством Кыргызской Республики.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13. Режим работы и время отдыха сотрудников Центра ГЧП, их социальное об</w:t>
      </w:r>
      <w:r>
        <w:rPr>
          <w:lang w:val="ru-RU"/>
        </w:rPr>
        <w:t>еспечение, социальное страхование устанавливаются в соответствии с трудовым законодательством Кыргызской Республики.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14. Центр ГЧП обязан: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обеспечить эффективное выполнение задач и функций, возлагаемых на него в соответствии с законодательством Кыргызско</w:t>
      </w:r>
      <w:r>
        <w:rPr>
          <w:lang w:val="ru-RU"/>
        </w:rPr>
        <w:t>й Республики и настоящим Положением;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 xml:space="preserve">- обеспечивать социальное, медицинское и иные виды обязательного страхования сотрудников Центра ГЧП, а также безопасные условия труда и нести ответственность в порядке, установленном законодательством </w:t>
      </w:r>
      <w:r>
        <w:rPr>
          <w:lang w:val="ru-RU"/>
        </w:rPr>
        <w:t>Кыргызской Республики, за ущерб, причиненный здоровью и трудоспособности сотрудников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своевременно представлять в налоговые и иные органы отчеты Центра ГЧП и уплачивать налоги и иные сборы в порядке и размерах, определяемых налоговым законодат</w:t>
      </w:r>
      <w:r>
        <w:rPr>
          <w:lang w:val="ru-RU"/>
        </w:rPr>
        <w:t>ельством Кыргызской Республики;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принимать меры по обеспечению сохранности государственного имущества, находящегося в оперативном управлении Центра ГЧП.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15. Сотрудники Центра ГЧП обязаны хранить государственную, коммерческую, служебную и иную охраняемую з</w:t>
      </w:r>
      <w:r>
        <w:rPr>
          <w:lang w:val="ru-RU"/>
        </w:rPr>
        <w:t>аконом тайну, в том числе и после прекращения работы в Центре ГЧП.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16. Центр ГЧП несет ответственность за нарушение договорных, кредитных, расчетных, налоговых и иных обязательств в соответствии с законодательством Кыргызской Республики.</w:t>
      </w:r>
    </w:p>
    <w:p w:rsidR="00000000" w:rsidRDefault="00490C26">
      <w:pPr>
        <w:pStyle w:val="tkZagolovok2"/>
        <w:rPr>
          <w:lang w:val="ru-RU"/>
        </w:rPr>
      </w:pPr>
      <w:r>
        <w:rPr>
          <w:lang w:val="ru-RU"/>
        </w:rPr>
        <w:t>VI. Организация де</w:t>
      </w:r>
      <w:r>
        <w:rPr>
          <w:lang w:val="ru-RU"/>
        </w:rPr>
        <w:t>ятельности Центра ГЧП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17. Центр ГЧП возглавляет директор, назначаемый на должность и освобождаемый от должности Премьер-министром Кыргызской Республики по представлению министра экономики Кыргызской Республики.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18. Директор назначается сроком на два года и</w:t>
      </w:r>
      <w:r>
        <w:rPr>
          <w:lang w:val="ru-RU"/>
        </w:rPr>
        <w:t xml:space="preserve"> действует на основе настоящего Положения и трудового договора, заключенного с Правительством Кыргызской Республики.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19. Директор: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lastRenderedPageBreak/>
        <w:t>- руководит деятельностью Центра ГЧП и несет ответственность за выполнение задач и функций, возложенных на Центр ГЧП, и резул</w:t>
      </w:r>
      <w:r>
        <w:rPr>
          <w:lang w:val="ru-RU"/>
        </w:rPr>
        <w:t>ьтаты его работы;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представляет интересы Центра ГЧП в государственных органах, организациях, учреждениях Кыргызской Республики, заключает договоры, выдает доверенности, открывает в банках расчетные счета, подписывает банковские и финансовые документы;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р</w:t>
      </w:r>
      <w:r>
        <w:rPr>
          <w:lang w:val="ru-RU"/>
        </w:rPr>
        <w:t>уководит Центром ГЧП и действует без доверенности от его имени;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в пределах своей компетенции издает приказы и дает указания, обязательные для всех работников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устанавливает полномочия бухгалтера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в установленном порядке назначае</w:t>
      </w:r>
      <w:r>
        <w:rPr>
          <w:lang w:val="ru-RU"/>
        </w:rPr>
        <w:t>т на должность и освобождает от должности работников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утверждает внутренний порядок работы и положение о премировании работников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принимает меры дисциплинарного воздействия в отношении работников Центра ГЧП;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в установленном поря</w:t>
      </w:r>
      <w:r>
        <w:rPr>
          <w:lang w:val="ru-RU"/>
        </w:rPr>
        <w:t>дке поощряет отличившихся работников Центра ГЧП, а также вносит предложения в Министерство экономики Кыргызской Республики о присвоении таким работникам почетных званий и награждении ведомственными и государственными наградами Кыргызской Республики;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внос</w:t>
      </w:r>
      <w:r>
        <w:rPr>
          <w:lang w:val="ru-RU"/>
        </w:rPr>
        <w:t>ит на рассмотрение министру экономики Кыргызской Республики проекты штатного расписания и структуры Центра ГЧП в пределах установленной предельной штатной численности.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20. Работники Центра ГЧП не являются государственными служащими и назначаются на должнос</w:t>
      </w:r>
      <w:r>
        <w:rPr>
          <w:lang w:val="ru-RU"/>
        </w:rPr>
        <w:t>ть и освобождаются от должности директором в соответствии с трудовым законодательством Кыргызской Республики.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 xml:space="preserve">В Центре ГЧП предусматривается должность заместителя директора, который назначается на должность и освобождается от должности министром экономики </w:t>
      </w:r>
      <w:r>
        <w:rPr>
          <w:lang w:val="ru-RU"/>
        </w:rPr>
        <w:t>Кыргызской Республики по представлению директора Центра ГЧП.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Заместитель директора подчиняется непосредственно директору и осуществляет свою деятельность в пределах возложенных на него обязанностей.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В отсутствие директора ГЧП его обязанности исполняет заме</w:t>
      </w:r>
      <w:r>
        <w:rPr>
          <w:lang w:val="ru-RU"/>
        </w:rPr>
        <w:t>ститель директора.</w:t>
      </w:r>
    </w:p>
    <w:p w:rsidR="00000000" w:rsidRDefault="00490C26">
      <w:pPr>
        <w:pStyle w:val="tkZagolovok2"/>
        <w:rPr>
          <w:lang w:val="ru-RU"/>
        </w:rPr>
      </w:pPr>
      <w:r>
        <w:rPr>
          <w:lang w:val="ru-RU"/>
        </w:rPr>
        <w:t>VII. Имущество и финансово-хозяйственная деятельность Центра ГЧП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21. Центр ГЧП владеет, пользуется и распоряжается принадлежащим ему имуществом на праве оперативного управления в соответствии с законодательством Кыргызской Республики и н</w:t>
      </w:r>
      <w:r>
        <w:rPr>
          <w:lang w:val="ru-RU"/>
        </w:rPr>
        <w:t>астоящим Положением.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22. Имущество Центра ГЧП составляют основные фонды и оборотные средства, а также иные материальные ценности, необходимые для производственной деятельности входящих в него структур, которые отражаются на балансе Центра ГЧП. Изъятие у Це</w:t>
      </w:r>
      <w:r>
        <w:rPr>
          <w:lang w:val="ru-RU"/>
        </w:rPr>
        <w:t>нтра ГЧП его основных фондов, оборотных средств и иного имущества допускается по решению собственника.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23. Источниками формирования имущества Центра ГЧП являются: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доходы, полученные от выполнения работ и услуг на основе договоров с государственными и ино</w:t>
      </w:r>
      <w:r>
        <w:rPr>
          <w:lang w:val="ru-RU"/>
        </w:rPr>
        <w:t>странными партнерами, физическими и юридическими лицами;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средства государственного бюджета;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гранты;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добровольные взносы юридических и физических лиц;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>- иные источники, не противоречащие законодательству Кыргызской Республики.</w:t>
      </w:r>
    </w:p>
    <w:p w:rsidR="00000000" w:rsidRDefault="00490C26">
      <w:pPr>
        <w:pStyle w:val="tkZagolovok2"/>
        <w:rPr>
          <w:lang w:val="ru-RU"/>
        </w:rPr>
      </w:pPr>
      <w:r>
        <w:rPr>
          <w:lang w:val="ru-RU"/>
        </w:rPr>
        <w:t>VIII. Ликвидация и реорганизация Центра ГЧП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lastRenderedPageBreak/>
        <w:t>24. Ликвидация Центра ГЧП осуществляется по решению Правительства Кыргызской Республики.</w:t>
      </w:r>
    </w:p>
    <w:p w:rsidR="00000000" w:rsidRDefault="00490C26">
      <w:pPr>
        <w:pStyle w:val="tkTekst"/>
        <w:rPr>
          <w:lang w:val="ru-RU"/>
        </w:rPr>
      </w:pPr>
      <w:r>
        <w:rPr>
          <w:lang w:val="ru-RU"/>
        </w:rPr>
        <w:t xml:space="preserve">25. Реорганизация Центра ГЧП (слияние, присоединение, разделение, выделение, преобразование) осуществляется в соответствии </w:t>
      </w:r>
      <w:r>
        <w:rPr>
          <w:lang w:val="ru-RU"/>
        </w:rPr>
        <w:t>с гражданским законодательством Кыргызской Республики.</w:t>
      </w:r>
    </w:p>
    <w:p w:rsidR="00490C26" w:rsidRDefault="00490C26">
      <w:pPr>
        <w:pStyle w:val="tkTekst"/>
        <w:rPr>
          <w:lang w:val="ru-RU"/>
        </w:rPr>
      </w:pPr>
      <w:r>
        <w:rPr>
          <w:lang w:val="ru-RU"/>
        </w:rPr>
        <w:t xml:space="preserve">26. При прекращении деятельности, документы, возникшие в ходе деятельности Центра ГЧП, используются и хранятся в соответствии с </w:t>
      </w:r>
      <w:hyperlink r:id="rId7" w:history="1">
        <w:r>
          <w:rPr>
            <w:rStyle w:val="Hyperlink"/>
            <w:lang w:val="ru-RU"/>
          </w:rPr>
          <w:t>Законом</w:t>
        </w:r>
      </w:hyperlink>
      <w:r>
        <w:rPr>
          <w:lang w:val="ru-RU"/>
        </w:rPr>
        <w:t xml:space="preserve"> Кыргызской Республики "О Национ</w:t>
      </w:r>
      <w:r>
        <w:rPr>
          <w:lang w:val="ru-RU"/>
        </w:rPr>
        <w:t>альном архивном фонде Кыргызской Республики".</w:t>
      </w:r>
    </w:p>
    <w:sectPr w:rsidR="00490C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310F"/>
    <w:rsid w:val="00490C26"/>
    <w:rsid w:val="004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FBAFC-2761-4237-970F-0DCD208D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Theme="minorEastAsia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tkRedakcijaSpisok">
    <w:name w:val="_В редакции список (tkRedakcijaSpisok)"/>
    <w:basedOn w:val="Normal"/>
    <w:pPr>
      <w:ind w:left="1134" w:right="1134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kRedakcijaTekst">
    <w:name w:val="_В редакции текст (tkRedakcijaTekst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kGrif">
    <w:name w:val="_Гриф (tkGrif)"/>
    <w:basedOn w:val="Normal"/>
    <w:pPr>
      <w:spacing w:after="60"/>
      <w:jc w:val="center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Zagolovok3">
    <w:name w:val="_Заголовок Глава (tkZagolovok3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4">
    <w:name w:val="_Заголовок Параграф (tkZagolovok4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2">
    <w:name w:val="_Заголовок Раздел (tkZagolovok2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5">
    <w:name w:val="_Заголовок Статья (tkZagolovok5)"/>
    <w:basedOn w:val="Normal"/>
    <w:pPr>
      <w:spacing w:before="200" w:after="60"/>
      <w:ind w:firstLine="567"/>
    </w:pPr>
    <w:rPr>
      <w:rFonts w:ascii="Arial" w:hAnsi="Arial" w:cs="Arial"/>
      <w:i w:val="0"/>
      <w:iCs w:val="0"/>
      <w:sz w:val="20"/>
      <w:szCs w:val="20"/>
    </w:rPr>
  </w:style>
  <w:style w:type="paragraph" w:customStyle="1" w:styleId="tkZagolovok1">
    <w:name w:val="_Заголовок Часть (tkZagolovok1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Komentarij">
    <w:name w:val="_Комментарий (tkKomentarij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color w:val="006600"/>
      <w:sz w:val="20"/>
      <w:szCs w:val="20"/>
    </w:rPr>
  </w:style>
  <w:style w:type="paragraph" w:customStyle="1" w:styleId="tkNazvanie">
    <w:name w:val="_Название (tkNazvanie)"/>
    <w:basedOn w:val="Normal"/>
    <w:pPr>
      <w:spacing w:before="400" w:after="4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Podpis">
    <w:name w:val="_Подпись (tkPodpis)"/>
    <w:basedOn w:val="Normal"/>
    <w:pPr>
      <w:spacing w:after="60"/>
    </w:pPr>
    <w:rPr>
      <w:rFonts w:ascii="Arial" w:hAnsi="Arial" w:cs="Arial"/>
      <w:i w:val="0"/>
      <w:iCs w:val="0"/>
      <w:sz w:val="20"/>
      <w:szCs w:val="20"/>
    </w:rPr>
  </w:style>
  <w:style w:type="paragraph" w:customStyle="1" w:styleId="tkRekvizit">
    <w:name w:val="_Реквизит (tkRekvizit)"/>
    <w:basedOn w:val="Normal"/>
    <w:pPr>
      <w:spacing w:before="200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sSoderzhanie3">
    <w:name w:val="__Структура Глава (tsSoderzhanie3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4">
    <w:name w:val="__Структура Параграф (tsSoderzhanie4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2">
    <w:name w:val="__Структура Раздел (tsSoderzhanie2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5">
    <w:name w:val="__Структура Статья (tsSoderzhanie5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1">
    <w:name w:val="__Структура Часть (tsSoderzhanie1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kTekst">
    <w:name w:val="_Текст обычный (tkTekst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Tablica">
    <w:name w:val="_Текст таблицы (tkTablica)"/>
    <w:basedOn w:val="Normal"/>
    <w:pPr>
      <w:spacing w:after="6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Forma">
    <w:name w:val="_Форма (tkForma)"/>
    <w:basedOn w:val="Normal"/>
    <w:pPr>
      <w:ind w:left="1134" w:right="1134"/>
      <w:jc w:val="center"/>
    </w:pPr>
    <w:rPr>
      <w:rFonts w:ascii="Arial" w:hAnsi="Arial" w:cs="Arial"/>
      <w:i w:val="0"/>
      <w:iCs w:val="0"/>
      <w:caps/>
      <w:sz w:val="24"/>
      <w:szCs w:val="24"/>
    </w:rPr>
  </w:style>
  <w:style w:type="paragraph" w:customStyle="1" w:styleId="tkKomentarijKonflikt">
    <w:name w:val="_Конфликт (tkKomentarijKonflikt)"/>
    <w:basedOn w:val="Normal"/>
    <w:pPr>
      <w:shd w:val="clear" w:color="auto" w:fill="F2DBDB"/>
      <w:spacing w:before="120" w:after="120"/>
      <w:jc w:val="both"/>
    </w:pPr>
    <w:rPr>
      <w:rFonts w:ascii="Arial" w:hAnsi="Arial" w:cs="Arial"/>
      <w:b w:val="0"/>
      <w:bCs w:val="0"/>
      <w:vanish/>
      <w:color w:val="943634"/>
      <w:sz w:val="20"/>
      <w:szCs w:val="20"/>
    </w:rPr>
  </w:style>
  <w:style w:type="paragraph" w:customStyle="1" w:styleId="tsSystem">
    <w:name w:val="__Служебный (tsSystem)"/>
    <w:basedOn w:val="Normal"/>
    <w:pPr>
      <w:shd w:val="clear" w:color="auto" w:fill="FFC000"/>
      <w:spacing w:before="120" w:after="120"/>
    </w:pPr>
    <w:rPr>
      <w:rFonts w:ascii="Arial" w:hAnsi="Arial" w:cs="Arial"/>
      <w:b w:val="0"/>
      <w:bCs w:val="0"/>
      <w:i w:val="0"/>
      <w:iCs w:val="0"/>
      <w:vanish/>
      <w:color w:val="404040"/>
      <w:sz w:val="20"/>
      <w:szCs w:val="20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oktom://db/147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11251" TargetMode="External"/><Relationship Id="rId5" Type="http://schemas.openxmlformats.org/officeDocument/2006/relationships/hyperlink" Target="toktom://db/98840" TargetMode="External"/><Relationship Id="rId4" Type="http://schemas.openxmlformats.org/officeDocument/2006/relationships/hyperlink" Target="toktom://db/1563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2020-10-18T12:21:00Z</dcterms:created>
  <dcterms:modified xsi:type="dcterms:W3CDTF">2020-10-18T12:21:00Z</dcterms:modified>
</cp:coreProperties>
</file>