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E5" w:rsidRDefault="009E23F0">
      <w:pPr>
        <w:pStyle w:val="tkTekst"/>
        <w:jc w:val="right"/>
        <w:rPr>
          <w:lang w:val="ru-RU"/>
        </w:rPr>
      </w:pPr>
      <w:r>
        <w:rPr>
          <w:lang w:val="ru-RU"/>
        </w:rPr>
        <w:t>Приложение</w:t>
      </w:r>
    </w:p>
    <w:p w:rsidR="00413DE5" w:rsidRDefault="009E23F0">
      <w:pPr>
        <w:pStyle w:val="tkTekst"/>
        <w:jc w:val="center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413DE5" w:rsidRPr="00EB1EB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13DE5" w:rsidRDefault="009E23F0">
            <w:pPr>
              <w:pStyle w:val="tkGrif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E5" w:rsidRDefault="009E23F0">
            <w:pPr>
              <w:pStyle w:val="tkGrif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DE5" w:rsidRPr="00EB1EB7" w:rsidRDefault="009E23F0">
            <w:pPr>
              <w:pStyle w:val="tkGrif"/>
              <w:rPr>
                <w:lang w:val="ru-RU"/>
              </w:rPr>
            </w:pPr>
            <w:r w:rsidRPr="00EB1EB7">
              <w:rPr>
                <w:lang w:val="ru-RU"/>
              </w:rPr>
              <w:t>Утверждено</w:t>
            </w:r>
            <w:r w:rsidRPr="00EB1EB7">
              <w:rPr>
                <w:lang w:val="ru-RU"/>
              </w:rPr>
              <w:br/>
            </w:r>
            <w:hyperlink r:id="rId4" w:history="1">
              <w:r w:rsidRPr="00EB1EB7">
                <w:rPr>
                  <w:rStyle w:val="Hyperlink"/>
                  <w:color w:val="000000"/>
                  <w:u w:val="none"/>
                  <w:lang w:val="ru-RU"/>
                </w:rPr>
                <w:t>приказом</w:t>
              </w:r>
            </w:hyperlink>
            <w:r w:rsidRPr="00EB1EB7">
              <w:rPr>
                <w:lang w:val="ru-RU"/>
              </w:rPr>
              <w:t xml:space="preserve"> Министерства экономики </w:t>
            </w:r>
            <w:proofErr w:type="spellStart"/>
            <w:r w:rsidRPr="00EB1EB7">
              <w:rPr>
                <w:lang w:val="ru-RU"/>
              </w:rPr>
              <w:t>Кыргызской</w:t>
            </w:r>
            <w:proofErr w:type="spellEnd"/>
            <w:r w:rsidRPr="00EB1EB7">
              <w:rPr>
                <w:lang w:val="ru-RU"/>
              </w:rPr>
              <w:t xml:space="preserve"> Республики</w:t>
            </w:r>
            <w:r w:rsidRPr="00EB1EB7">
              <w:rPr>
                <w:lang w:val="ru-RU"/>
              </w:rPr>
              <w:br/>
              <w:t xml:space="preserve">от 28 февраля 2013 года </w:t>
            </w:r>
            <w:r>
              <w:t>N</w:t>
            </w:r>
            <w:r w:rsidRPr="00EB1EB7">
              <w:rPr>
                <w:lang w:val="ru-RU"/>
              </w:rPr>
              <w:t xml:space="preserve"> 39</w:t>
            </w:r>
          </w:p>
        </w:tc>
      </w:tr>
    </w:tbl>
    <w:p w:rsidR="00413DE5" w:rsidRDefault="009E23F0">
      <w:pPr>
        <w:pStyle w:val="tkNazvanie"/>
        <w:rPr>
          <w:lang w:val="ru-RU"/>
        </w:rPr>
      </w:pPr>
      <w:r>
        <w:rPr>
          <w:lang w:val="ru-RU"/>
        </w:rPr>
        <w:t>ПОЛОЖЕНИЕ</w:t>
      </w:r>
      <w:r>
        <w:rPr>
          <w:lang w:val="ru-RU"/>
        </w:rPr>
        <w:br/>
        <w:t>по применению формы участия частного партнера в проектах государственно-частного партнерства (моделей государственно-частного партнерства)</w:t>
      </w:r>
    </w:p>
    <w:p w:rsidR="00413DE5" w:rsidRDefault="009E23F0">
      <w:pPr>
        <w:pStyle w:val="tkZagolovok3"/>
        <w:rPr>
          <w:lang w:val="ru-RU"/>
        </w:rPr>
      </w:pPr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 xml:space="preserve">1. Настоящее Положение разработано на основе </w:t>
      </w:r>
      <w:hyperlink r:id="rId5" w:history="1">
        <w:r>
          <w:rPr>
            <w:rStyle w:val="Hyperlink"/>
            <w:color w:val="000000"/>
            <w:u w:val="none"/>
            <w:lang w:val="ru-RU"/>
          </w:rPr>
          <w:t>Закона</w:t>
        </w:r>
      </w:hyperlink>
      <w:r>
        <w:rPr>
          <w:lang w:val="ru-RU"/>
        </w:rPr>
        <w:t xml:space="preserve"> "О государственно-частном партнерстве в </w:t>
      </w:r>
      <w:proofErr w:type="spellStart"/>
      <w:r>
        <w:rPr>
          <w:lang w:val="ru-RU"/>
        </w:rPr>
        <w:t>Кыргызской</w:t>
      </w:r>
      <w:proofErr w:type="spellEnd"/>
      <w:r>
        <w:rPr>
          <w:lang w:val="ru-RU"/>
        </w:rPr>
        <w:t xml:space="preserve"> Республике" и определяет возможные механизмы реализации государственно-частного партнерства и формы участия частного партнера в проектах ГЧП.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2. Участие частного партнера в проектах ГЧП возможно в различных формах в зависимости от вида инфраструктурного объекта или инфраструктурных услуг, их отраслевой принадлежности, цели проекта ГЧП и договоренностей сторон соглашения о ГЧП.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 xml:space="preserve">3. Независимо от применяемых механизмов, реализация проектов ГЧП должна осуществляться в соответствии с требованиями </w:t>
      </w:r>
      <w:hyperlink r:id="rId6" w:history="1">
        <w:r>
          <w:rPr>
            <w:rStyle w:val="Hyperlink"/>
            <w:color w:val="000000"/>
            <w:u w:val="none"/>
            <w:lang w:val="ru-RU"/>
          </w:rPr>
          <w:t>Закона</w:t>
        </w:r>
      </w:hyperlink>
      <w:r>
        <w:rPr>
          <w:lang w:val="ru-RU"/>
        </w:rPr>
        <w:t xml:space="preserve"> </w:t>
      </w:r>
      <w:proofErr w:type="spellStart"/>
      <w:r>
        <w:rPr>
          <w:lang w:val="ru-RU"/>
        </w:rPr>
        <w:t>Кыргызской</w:t>
      </w:r>
      <w:proofErr w:type="spellEnd"/>
      <w:r>
        <w:rPr>
          <w:lang w:val="ru-RU"/>
        </w:rPr>
        <w:t xml:space="preserve"> Республики "О государственно-частном партнерстве".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 xml:space="preserve">4. Термины, используемые в настоящем Положении, употребляются в значениях, определенных в </w:t>
      </w:r>
      <w:hyperlink r:id="rId7" w:history="1">
        <w:r>
          <w:rPr>
            <w:rStyle w:val="Hyperlink"/>
            <w:color w:val="000000"/>
            <w:u w:val="none"/>
            <w:lang w:val="ru-RU"/>
          </w:rPr>
          <w:t>Законе</w:t>
        </w:r>
      </w:hyperlink>
      <w:r>
        <w:rPr>
          <w:lang w:val="ru-RU"/>
        </w:rPr>
        <w:t xml:space="preserve"> </w:t>
      </w:r>
      <w:proofErr w:type="spellStart"/>
      <w:r>
        <w:rPr>
          <w:lang w:val="ru-RU"/>
        </w:rPr>
        <w:t>Кыргызской</w:t>
      </w:r>
      <w:proofErr w:type="spellEnd"/>
      <w:r>
        <w:rPr>
          <w:lang w:val="ru-RU"/>
        </w:rPr>
        <w:t xml:space="preserve"> Республики "О государственно-частном партнерстве" (далее - Закон).</w:t>
      </w:r>
    </w:p>
    <w:p w:rsidR="00413DE5" w:rsidRDefault="009E23F0">
      <w:pPr>
        <w:pStyle w:val="tkZagolovok3"/>
        <w:rPr>
          <w:lang w:val="ru-RU"/>
        </w:rPr>
      </w:pPr>
      <w:r>
        <w:rPr>
          <w:lang w:val="ru-RU"/>
        </w:rPr>
        <w:t>Глава 2</w:t>
      </w:r>
      <w:r>
        <w:rPr>
          <w:lang w:val="ru-RU"/>
        </w:rPr>
        <w:br/>
        <w:t>Механизмы реализации ГЧП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5. Механизм реализации ГЧП определяется совокупностью правовых, финансовых, институциональных и технологических механизмов, которые являются наиболее приемлемыми для государства и частного инвестора и эффективными в условиях конкретного проекта.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6. Выбор механизма реализации ГЧП осуществляется партнером, осуществляющим инициирование ГЧП.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7. Основные факторы, определяющие механизм реализации ГЧП в конкретных проектах: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- цели создания ГЧП;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- сфера, в которой создается ГЧП;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- отраслевая принадлежность инфраструктурного объекта и/или инфраструктурных услуг;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- инвестиционные обязательства сторон;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- схема распределения рисков между партнерами;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- определение плательщика за услуги, предоставляемые в рамках ГЧП.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8. С учетом потребности в существовании специальной структуры, целью которой является реализация проекта ГЧП, могут создаваться институциональные и контрактные ГЧП: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 xml:space="preserve">1) Институциональное ГЧП предполагает создание проектной компании с участием государственного и частного партнеров. Создание проектной компании должно быть предусмотрено соглашением о ГЧП и соответствовать требованиям </w:t>
      </w:r>
      <w:hyperlink r:id="rId8" w:anchor="st_29" w:history="1">
        <w:r>
          <w:rPr>
            <w:rStyle w:val="Hyperlink"/>
            <w:color w:val="000000"/>
            <w:u w:val="none"/>
            <w:lang w:val="ru-RU"/>
          </w:rPr>
          <w:t>статьи 29</w:t>
        </w:r>
      </w:hyperlink>
      <w:r>
        <w:rPr>
          <w:lang w:val="ru-RU"/>
        </w:rPr>
        <w:t xml:space="preserve"> Закона.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lastRenderedPageBreak/>
        <w:t>2) Контрактное ГЧП не предполагает создание проектной компании и реализуется посредством различных договоров, предусмотренных соглашением о ГЧП.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9. В зависимости от того, кто является плательщиком услуг, предоставляемых в рамках проекта ГЧП возможно использование контрактов на управление и концессий: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1) Контракты на управление - частный партнер получает в управление принадлежащую государству собственность на определенный период времени. Услуги, предоставляемые частным партнером, оплачиваются государственным партнером. Как правило, в рамках таких проектов эксплуатацию объекта и извлечение дохода от деятельности осуществляет государственный партнер, все правовые отношения возникают между государственным партнером и получателем услуг.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2) Концессия - государственный партнер предоставляет частному партнеру правомочия владения и пользования существующим объектом по договору за плату с условием возврата. Услуги, предоставляемые частным партнером, в соответствии с соглашением о ГЧП, финансируются за счет потребителя этих услуг. При недостатке платежей потребителей возможно использование субсидий государства.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10. Проекты, предполагающие новое строительство: частный партнер строит и эксплуатирует новые объекты в течение срока, указанного в контракте.</w:t>
      </w:r>
    </w:p>
    <w:p w:rsidR="00413DE5" w:rsidRDefault="009E23F0">
      <w:pPr>
        <w:pStyle w:val="tkZagolovok3"/>
        <w:rPr>
          <w:lang w:val="ru-RU"/>
        </w:rPr>
      </w:pPr>
      <w:r>
        <w:rPr>
          <w:lang w:val="ru-RU"/>
        </w:rPr>
        <w:t>Глава 3</w:t>
      </w:r>
      <w:r>
        <w:rPr>
          <w:lang w:val="ru-RU"/>
        </w:rPr>
        <w:br/>
        <w:t>Модели ГЧП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11. Форма участия частного партнера определяет модель ГЧП.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12. Механизм реализации ГЧП может предполагать использование любой модели ГЧП.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13. Основными моделями ГЧП являются: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1) Строительство и передача (</w:t>
      </w:r>
      <w:proofErr w:type="spellStart"/>
      <w:r>
        <w:rPr>
          <w:lang w:val="ru-RU"/>
        </w:rPr>
        <w:t>Build-and-Transfer</w:t>
      </w:r>
      <w:proofErr w:type="spellEnd"/>
      <w:r>
        <w:rPr>
          <w:lang w:val="ru-RU"/>
        </w:rPr>
        <w:t xml:space="preserve"> - BT) - частный партнер осуществляет финансирование и строительство инфраструктурного объекта и после завершения строительных работ передает данный инфраструктурный объект государственному партнеру, который в течение оговоренного в соглашении о ГЧП периода времени оплачивает затраты частного партнера по строительству инфраструктурного объекта.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2) Строительство, аренда и передача (</w:t>
      </w:r>
      <w:proofErr w:type="spellStart"/>
      <w:r>
        <w:rPr>
          <w:lang w:val="ru-RU"/>
        </w:rPr>
        <w:t>Build-Lease-and-Transfer</w:t>
      </w:r>
      <w:proofErr w:type="spellEnd"/>
      <w:r>
        <w:rPr>
          <w:lang w:val="ru-RU"/>
        </w:rPr>
        <w:t xml:space="preserve"> - BLT) - частный партнер осуществляет финансирование и строительство инфраструктурного объекта государственно-частного партнерства и по завершении строительства передает его государственному партнеру, сохраняя за собой права на аренду инфраструктурного объекта на определенный период времени, после окончания которого права собственности на инфраструктурный объект автоматически переходят государственному партнеру.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3) Строительство, эксплуатация и передача (</w:t>
      </w:r>
      <w:proofErr w:type="spellStart"/>
      <w:r>
        <w:rPr>
          <w:lang w:val="ru-RU"/>
        </w:rPr>
        <w:t>Build-Operate-and-Transfer</w:t>
      </w:r>
      <w:proofErr w:type="spellEnd"/>
      <w:r>
        <w:rPr>
          <w:lang w:val="ru-RU"/>
        </w:rPr>
        <w:t xml:space="preserve"> - ВОТ) - частный партнер осуществляет финансирование и строительство инфраструктурного объекта, а в дальнейшем - его эксплуатацию и содержание. Частный партнер эксплуатирует инфраструктурный объект в течение оговоренного в соглашении о ГЧП периода времени, в течение которого частный партнер имеет право взимать плату с потребителей услуг данного объекта. Размер данной платы не превышает размера, указанного в заявке частного партнера при участии в отборе частного партнера, либо размера, определенного в соглашении о ГЧП. Взимание платы осуществляется в целях возмещения издержек частного партнера при строительстве, эксплуатации и содержании инфраструктурного объекта. Частный партнер передает инфраструктурный объект государственному партнеру по завершении определенного в соглашении о ГЧП периода времени.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4) Строительство, владение и эксплуатация (</w:t>
      </w:r>
      <w:proofErr w:type="spellStart"/>
      <w:r>
        <w:rPr>
          <w:lang w:val="ru-RU"/>
        </w:rPr>
        <w:t>Build-Own-and-Operate</w:t>
      </w:r>
      <w:proofErr w:type="spellEnd"/>
      <w:r>
        <w:rPr>
          <w:lang w:val="ru-RU"/>
        </w:rPr>
        <w:t xml:space="preserve"> - BOO) - частный партнер осуществляет финансирование, строительство, владение, эксплуатацию и содержание инфраструктурного объекта. Он также имеет право возмещать свои издержки по финансированию, эксплуатации и содержанию объекта через взимание соответствующей платы с конечных потребителей. Размер данной платы не превышает размера, указанного в заявке частного партнера при участии в отборе частного партнера, либо размера, определенного соглашением о ГЧП. При данной форме участия частного партнера в проектах ГЧП передача объекта государственному партнеру не предусматривается.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lastRenderedPageBreak/>
        <w:t>5) Строительство, владение, эксплуатация и передача (</w:t>
      </w:r>
      <w:proofErr w:type="spellStart"/>
      <w:r>
        <w:rPr>
          <w:lang w:val="ru-RU"/>
        </w:rPr>
        <w:t>Build-Own-Operate-and-Transfer</w:t>
      </w:r>
      <w:proofErr w:type="spellEnd"/>
      <w:r>
        <w:rPr>
          <w:lang w:val="ru-RU"/>
        </w:rPr>
        <w:t xml:space="preserve"> - BOOT) - форма участия частного партнера в проектах ГЧП, определяемая как "строительство, эксплуатация и передача", за исключением того положения, что после окончания срока соглашения частный партнер осуществляет передачу объекта государственному партнеру.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6) Строительство, передача и эксплуатация (</w:t>
      </w:r>
      <w:proofErr w:type="spellStart"/>
      <w:r>
        <w:rPr>
          <w:lang w:val="ru-RU"/>
        </w:rPr>
        <w:t>Build-Transfer-and-Operate</w:t>
      </w:r>
      <w:proofErr w:type="spellEnd"/>
      <w:r>
        <w:rPr>
          <w:lang w:val="ru-RU"/>
        </w:rPr>
        <w:t xml:space="preserve"> - BTO) - государственный партнер передает инфраструктурный объект частному партнеру, который осуществляет его строительство, беря на себя перерасход средств, возможные задержки при строительстве и связанные с этим риски. После официальной приемки инфраструктурного объекта государственным партнером права собственности на него передаются государственному партнеру, при этом частный партнер эксплуатирует его от имени государственного партнера.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7) Соглашение о расширении и эксплуатации (</w:t>
      </w:r>
      <w:proofErr w:type="spellStart"/>
      <w:r>
        <w:rPr>
          <w:lang w:val="ru-RU"/>
        </w:rPr>
        <w:t>Contract-Add-and-Operate</w:t>
      </w:r>
      <w:proofErr w:type="spellEnd"/>
      <w:r>
        <w:rPr>
          <w:lang w:val="ru-RU"/>
        </w:rPr>
        <w:t xml:space="preserve"> - CAO) - частный партнер расширяет существующий инфраструктурный объект, арендуемый у государственного партнера. Частный партнер осуществляет эксплуатацию инфраструктурного объекта в течение оговоренного в соглашении о ГЧП срока, по окончании которого передает его государственному партнеру.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8) Реконструкция, эксплуатация и передача (</w:t>
      </w:r>
      <w:proofErr w:type="spellStart"/>
      <w:r>
        <w:rPr>
          <w:lang w:val="ru-RU"/>
        </w:rPr>
        <w:t>Rehabilitate-Operate-and-Transfer</w:t>
      </w:r>
      <w:proofErr w:type="spellEnd"/>
      <w:r>
        <w:rPr>
          <w:lang w:val="ru-RU"/>
        </w:rPr>
        <w:t xml:space="preserve"> - ROT) - государственный партнер передает существующий инфраструктурный объект частному партнеру, который в течение определенного в соглашении о ГЧП периода времени проводит мероприятия по переустройству объекта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оборудованием. В течение оговоренного в соглашении о ГЧП периода времени частный партнер имеет право собирать плату с потребителей за оказываемые инфраструктурные услуги. По завершении периода соглашения о ГЧП объект передается государственному партнеру.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9) Реконструкция, аренда, передача (</w:t>
      </w:r>
      <w:proofErr w:type="spellStart"/>
      <w:r>
        <w:rPr>
          <w:lang w:val="ru-RU"/>
        </w:rPr>
        <w:t>Rehabilitate-Lease-Transfer</w:t>
      </w:r>
      <w:proofErr w:type="spellEnd"/>
      <w:r>
        <w:rPr>
          <w:lang w:val="ru-RU"/>
        </w:rPr>
        <w:t xml:space="preserve"> - RLT) - частный партнер восстанавливает (реконструирует) существующий объект, затем арендует на оговоренный в соглашении период времени, принимая на себя связанные с этим риски, а затем возвращает этот объект государству.</w:t>
      </w:r>
    </w:p>
    <w:p w:rsidR="00413DE5" w:rsidRDefault="009E23F0">
      <w:pPr>
        <w:pStyle w:val="tkZagolovok3"/>
        <w:rPr>
          <w:lang w:val="ru-RU"/>
        </w:rPr>
      </w:pPr>
      <w:r>
        <w:rPr>
          <w:lang w:val="ru-RU"/>
        </w:rPr>
        <w:t>Глава 4</w:t>
      </w:r>
      <w:r>
        <w:rPr>
          <w:lang w:val="ru-RU"/>
        </w:rPr>
        <w:br/>
        <w:t>Заключительные положения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14. Соглашение о ГЧП может предусматривать сочетание нескольких механизмов реализации ГЧП, а также их отдельных элементов.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 xml:space="preserve">15. Перечень моделей ГЧП, определенных настоящим Положением, не является исчерпывающим. Соглашение о ГЧП может предусматривать иные формы участия частного партнера в реализации проекта ГЧП, при условии, что они не противоречат требованиям </w:t>
      </w:r>
      <w:hyperlink r:id="rId9" w:history="1">
        <w:r>
          <w:rPr>
            <w:rStyle w:val="Hyperlink"/>
            <w:color w:val="000000"/>
            <w:u w:val="none"/>
            <w:lang w:val="ru-RU"/>
          </w:rPr>
          <w:t>Закона</w:t>
        </w:r>
      </w:hyperlink>
      <w:r>
        <w:rPr>
          <w:lang w:val="ru-RU"/>
        </w:rPr>
        <w:t xml:space="preserve"> и иных нормативных правовых актов республики.</w:t>
      </w:r>
    </w:p>
    <w:p w:rsidR="00413DE5" w:rsidRDefault="009E23F0">
      <w:pPr>
        <w:pStyle w:val="tkTekst"/>
        <w:rPr>
          <w:lang w:val="ru-RU"/>
        </w:rPr>
      </w:pPr>
      <w:r>
        <w:rPr>
          <w:lang w:val="ru-RU"/>
        </w:rPr>
        <w:t>16. Типовая (стандартизованная) документация для различных моделей ГЧП разрабатывается государственным партнером с учетом сферы, в которой реализуется проект ГЧП. Отсутствие такой документации не является препятствием для инициирования и заключения соглашения о ГЧП.</w:t>
      </w:r>
    </w:p>
    <w:p w:rsidR="009E23F0" w:rsidRDefault="009E23F0">
      <w:pPr>
        <w:pStyle w:val="tkTekst"/>
        <w:rPr>
          <w:lang w:val="ru-RU"/>
        </w:rPr>
      </w:pPr>
      <w:bookmarkStart w:id="0" w:name="_GoBack"/>
      <w:bookmarkEnd w:id="0"/>
    </w:p>
    <w:sectPr w:rsidR="009E23F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A7"/>
    <w:rsid w:val="00413DE5"/>
    <w:rsid w:val="007563A7"/>
    <w:rsid w:val="009E23F0"/>
    <w:rsid w:val="00E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237D5"/>
  <w15:chartTrackingRefBased/>
  <w15:docId w15:val="{6154EC2D-2F09-4D3A-91F6-D93E5074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Theme="minorEastAsia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tkRedakcijaSpisok">
    <w:name w:val="_В редакции список (tkRedakcijaSpisok)"/>
    <w:basedOn w:val="Normal"/>
    <w:pPr>
      <w:ind w:left="1134" w:right="1134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kRedakcijaTekst">
    <w:name w:val="_В редакции текст (tkRedakcijaTekst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kGrif">
    <w:name w:val="_Гриф (tkGrif)"/>
    <w:basedOn w:val="Normal"/>
    <w:pPr>
      <w:spacing w:after="60"/>
      <w:jc w:val="center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Zagolovok3">
    <w:name w:val="_Заголовок Глава (tkZagolovok3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4">
    <w:name w:val="_Заголовок Параграф (tkZagolovok4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2">
    <w:name w:val="_Заголовок Раздел (tkZagolovok2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5">
    <w:name w:val="_Заголовок Статья (tkZagolovok5)"/>
    <w:basedOn w:val="Normal"/>
    <w:pPr>
      <w:spacing w:before="200" w:after="60"/>
      <w:ind w:firstLine="567"/>
    </w:pPr>
    <w:rPr>
      <w:rFonts w:ascii="Arial" w:hAnsi="Arial" w:cs="Arial"/>
      <w:i w:val="0"/>
      <w:iCs w:val="0"/>
      <w:sz w:val="20"/>
      <w:szCs w:val="20"/>
    </w:rPr>
  </w:style>
  <w:style w:type="paragraph" w:customStyle="1" w:styleId="tkZagolovok1">
    <w:name w:val="_Заголовок Часть (tkZagolovok1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Komentarij">
    <w:name w:val="_Комментарий (tkKomentarij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color w:val="006600"/>
      <w:sz w:val="20"/>
      <w:szCs w:val="20"/>
    </w:rPr>
  </w:style>
  <w:style w:type="paragraph" w:customStyle="1" w:styleId="tkNazvanie">
    <w:name w:val="_Название (tkNazvanie)"/>
    <w:basedOn w:val="Normal"/>
    <w:pPr>
      <w:spacing w:before="400" w:after="4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Podpis">
    <w:name w:val="_Подпись (tkPodpis)"/>
    <w:basedOn w:val="Normal"/>
    <w:pPr>
      <w:spacing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tkRekvizit">
    <w:name w:val="_Реквизит (tkRekvizit)"/>
    <w:basedOn w:val="Normal"/>
    <w:pPr>
      <w:spacing w:before="200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sSoderzhanie3">
    <w:name w:val="__Структура Глава (tsSoderzhanie3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4">
    <w:name w:val="__Структура Параграф (tsSoderzhanie4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2">
    <w:name w:val="__Структура Раздел (tsSoderzhanie2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5">
    <w:name w:val="__Структура Статья (tsSoderzhanie5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1">
    <w:name w:val="__Структура Часть (tsSoderzhanie1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kTekst">
    <w:name w:val="_Текст обычный (tkTekst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Tablica">
    <w:name w:val="_Текст таблицы (tkTablica)"/>
    <w:basedOn w:val="Normal"/>
    <w:pPr>
      <w:spacing w:after="6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Forma">
    <w:name w:val="_Форма (tkForma)"/>
    <w:basedOn w:val="Normal"/>
    <w:pPr>
      <w:ind w:left="1134" w:right="1134"/>
      <w:jc w:val="center"/>
    </w:pPr>
    <w:rPr>
      <w:rFonts w:ascii="Arial" w:hAnsi="Arial" w:cs="Arial"/>
      <w:i w:val="0"/>
      <w:iCs w:val="0"/>
      <w:caps/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12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oktom://db/111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111251" TargetMode="External"/><Relationship Id="rId11" Type="http://schemas.openxmlformats.org/officeDocument/2006/relationships/theme" Target="theme/theme1.xml"/><Relationship Id="rId5" Type="http://schemas.openxmlformats.org/officeDocument/2006/relationships/hyperlink" Target="toktom://db/111251" TargetMode="External"/><Relationship Id="rId10" Type="http://schemas.openxmlformats.org/officeDocument/2006/relationships/fontTable" Target="fontTable.xml"/><Relationship Id="rId4" Type="http://schemas.openxmlformats.org/officeDocument/2006/relationships/hyperlink" Target="toktom://db/120414" TargetMode="External"/><Relationship Id="rId9" Type="http://schemas.openxmlformats.org/officeDocument/2006/relationships/hyperlink" Target="toktom://db/111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2020-10-18T14:16:00Z</dcterms:created>
  <dcterms:modified xsi:type="dcterms:W3CDTF">2020-10-22T11:36:00Z</dcterms:modified>
</cp:coreProperties>
</file>